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688340</wp:posOffset>
            </wp:positionH>
            <wp:positionV relativeFrom="page">
              <wp:posOffset>568960</wp:posOffset>
            </wp:positionV>
            <wp:extent cx="61722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586105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46990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64770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1"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87" w:lineRule="exact"/>
        <w:rPr>
          <w:rFonts w:ascii="MS PGothic" w:cs="MS PGothic" w:eastAsia="MS PGothic" w:hAnsi="MS PGothic"/>
          <w:sz w:val="18"/>
          <w:szCs w:val="18"/>
          <w:color w:val="auto"/>
          <w:highlight w:val="black"/>
        </w:rPr>
      </w:pPr>
    </w:p>
    <w:p>
      <w:pPr>
        <w:ind w:left="30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March 31, 2025</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94" w:lineRule="exact"/>
        <w:rPr>
          <w:sz w:val="24"/>
          <w:szCs w:val="24"/>
          <w:color w:val="auto"/>
        </w:rPr>
      </w:pPr>
    </w:p>
    <w:p>
      <w:pPr>
        <w:ind w:left="3300"/>
        <w:spacing w:after="0"/>
        <w:tabs>
          <w:tab w:leader="none" w:pos="62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001-14649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2214245</wp:posOffset>
            </wp:positionH>
            <wp:positionV relativeFrom="paragraph">
              <wp:posOffset>71120</wp:posOffset>
            </wp:positionV>
            <wp:extent cx="1757045" cy="1174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11741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Trex Company, Inc.</w:t>
      </w:r>
    </w:p>
    <w:p>
      <w:pPr>
        <w:spacing w:after="0" w:line="8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97155</wp:posOffset>
            </wp:positionV>
            <wp:extent cx="1234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19" w:lineRule="exact"/>
        <w:rPr>
          <w:sz w:val="24"/>
          <w:szCs w:val="24"/>
          <w:color w:val="auto"/>
        </w:rPr>
      </w:pPr>
    </w:p>
    <w:tbl>
      <w:tblPr>
        <w:tblLayout w:type="fixed"/>
        <w:tblInd w:w="1320" w:type="dxa"/>
        <w:tblCellMar>
          <w:top w:w="0" w:type="dxa"/>
          <w:left w:w="0" w:type="dxa"/>
          <w:bottom w:w="0" w:type="dxa"/>
          <w:right w:w="0" w:type="dxa"/>
        </w:tblCellMar>
      </w:tblPr>
      <w:tr>
        <w:trPr>
          <w:trHeight w:val="222"/>
        </w:trPr>
        <w:tc>
          <w:tcPr>
            <w:tcW w:w="3840" w:type="dxa"/>
            <w:vAlign w:val="bottom"/>
          </w:tcPr>
          <w:p>
            <w:pPr>
              <w:jc w:val="center"/>
              <w:ind w:right="154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66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54-1910453</w:t>
            </w:r>
          </w:p>
        </w:tc>
      </w:tr>
      <w:tr>
        <w:trPr>
          <w:trHeight w:val="148"/>
        </w:trPr>
        <w:tc>
          <w:tcPr>
            <w:tcW w:w="3840" w:type="dxa"/>
            <w:vAlign w:val="bottom"/>
          </w:tcPr>
          <w:p>
            <w:pPr>
              <w:jc w:val="center"/>
              <w:ind w:right="1521"/>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660" w:type="dxa"/>
            <w:vAlign w:val="bottom"/>
          </w:tcPr>
          <w:p>
            <w:pPr>
              <w:jc w:val="center"/>
              <w:ind w:left="15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840" w:type="dxa"/>
            <w:vAlign w:val="bottom"/>
          </w:tcPr>
          <w:p>
            <w:pPr>
              <w:jc w:val="center"/>
              <w:ind w:right="1521"/>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660" w:type="dxa"/>
            <w:vAlign w:val="bottom"/>
          </w:tcPr>
          <w:p>
            <w:pPr>
              <w:jc w:val="center"/>
              <w:ind w:left="15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10"/>
        </w:trPr>
        <w:tc>
          <w:tcPr>
            <w:tcW w:w="3840" w:type="dxa"/>
            <w:vAlign w:val="bottom"/>
          </w:tcPr>
          <w:p>
            <w:pPr>
              <w:jc w:val="center"/>
              <w:ind w:right="1541"/>
              <w:spacing w:after="0"/>
              <w:rPr>
                <w:sz w:val="20"/>
                <w:szCs w:val="20"/>
                <w:color w:val="auto"/>
              </w:rPr>
            </w:pPr>
            <w:r>
              <w:rPr>
                <w:rFonts w:ascii="Times New Roman" w:cs="Times New Roman" w:eastAsia="Times New Roman" w:hAnsi="Times New Roman"/>
                <w:sz w:val="18"/>
                <w:szCs w:val="18"/>
                <w:b w:val="1"/>
                <w:bCs w:val="1"/>
                <w:color w:val="auto"/>
                <w:w w:val="99"/>
              </w:rPr>
              <w:t>2500 Trex Way</w:t>
            </w:r>
          </w:p>
        </w:tc>
        <w:tc>
          <w:tcPr>
            <w:tcW w:w="2660" w:type="dxa"/>
            <w:vAlign w:val="bottom"/>
          </w:tcPr>
          <w:p>
            <w:pPr>
              <w:spacing w:after="0"/>
              <w:rPr>
                <w:sz w:val="24"/>
                <w:szCs w:val="24"/>
                <w:color w:val="auto"/>
              </w:rPr>
            </w:pPr>
          </w:p>
        </w:tc>
      </w:tr>
      <w:tr>
        <w:trPr>
          <w:trHeight w:val="235"/>
        </w:trPr>
        <w:tc>
          <w:tcPr>
            <w:tcW w:w="3840" w:type="dxa"/>
            <w:vAlign w:val="bottom"/>
          </w:tcPr>
          <w:p>
            <w:pPr>
              <w:jc w:val="center"/>
              <w:ind w:right="1541"/>
              <w:spacing w:after="0"/>
              <w:rPr>
                <w:sz w:val="20"/>
                <w:szCs w:val="20"/>
                <w:color w:val="auto"/>
              </w:rPr>
            </w:pPr>
            <w:r>
              <w:rPr>
                <w:rFonts w:ascii="Times New Roman" w:cs="Times New Roman" w:eastAsia="Times New Roman" w:hAnsi="Times New Roman"/>
                <w:sz w:val="18"/>
                <w:szCs w:val="18"/>
                <w:b w:val="1"/>
                <w:bCs w:val="1"/>
                <w:color w:val="auto"/>
              </w:rPr>
              <w:t>Winchester, Virginia</w:t>
            </w:r>
          </w:p>
        </w:tc>
        <w:tc>
          <w:tcPr>
            <w:tcW w:w="266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22601</w:t>
            </w:r>
          </w:p>
        </w:tc>
      </w:tr>
      <w:tr>
        <w:trPr>
          <w:trHeight w:val="178"/>
        </w:trPr>
        <w:tc>
          <w:tcPr>
            <w:tcW w:w="3840" w:type="dxa"/>
            <w:vAlign w:val="bottom"/>
          </w:tcPr>
          <w:p>
            <w:pPr>
              <w:jc w:val="center"/>
              <w:ind w:right="15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660" w:type="dxa"/>
            <w:vAlign w:val="bottom"/>
          </w:tcPr>
          <w:p>
            <w:pPr>
              <w:jc w:val="center"/>
              <w:ind w:left="15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(540) 542-6300</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50800</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2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370" w:type="dxa"/>
        <w:tblCellMar>
          <w:top w:w="0" w:type="dxa"/>
          <w:left w:w="0" w:type="dxa"/>
          <w:bottom w:w="0" w:type="dxa"/>
          <w:right w:w="0" w:type="dxa"/>
        </w:tblCellMar>
      </w:tblPr>
      <w:tr>
        <w:trPr>
          <w:trHeight w:val="378"/>
        </w:trPr>
        <w:tc>
          <w:tcPr>
            <w:tcW w:w="2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58"/>
        </w:trPr>
        <w:tc>
          <w:tcPr>
            <w:tcW w:w="2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TREX</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67" w:lineRule="exact"/>
        <w:rPr>
          <w:sz w:val="24"/>
          <w:szCs w:val="24"/>
          <w:color w:val="auto"/>
        </w:rPr>
      </w:pPr>
    </w:p>
    <w:p>
      <w:pPr>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p>
    <w:p>
      <w:pPr>
        <w:spacing w:after="0" w:line="26" w:lineRule="exact"/>
        <w:rPr>
          <w:sz w:val="24"/>
          <w:szCs w:val="24"/>
          <w:color w:val="auto"/>
        </w:rPr>
      </w:pPr>
    </w:p>
    <w:p>
      <w:pPr>
        <w:ind w:right="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5" w:lineRule="exact"/>
        <w:rPr>
          <w:sz w:val="24"/>
          <w:szCs w:val="24"/>
          <w:color w:val="auto"/>
        </w:rPr>
      </w:pPr>
    </w:p>
    <w:p>
      <w:pPr>
        <w:ind w:right="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spacing w:after="0" w:line="184" w:lineRule="exact"/>
        <w:tabs>
          <w:tab w:leader="none" w:pos="1840" w:val="left"/>
          <w:tab w:leader="none" w:pos="700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Non-accelerated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122"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right="760"/>
        <w:spacing w:after="0" w:line="26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w:t>
      </w:r>
      <w:r>
        <w:rPr>
          <w:rFonts w:ascii="Times New Roman" w:cs="Times New Roman" w:eastAsia="Times New Roman" w:hAnsi="Times New Roman"/>
          <w:sz w:val="17"/>
          <w:szCs w:val="17"/>
          <w:color w:val="auto"/>
        </w:rPr>
        <w:t>Yes</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No</w:t>
      </w:r>
      <w:r>
        <w:rPr>
          <w:rFonts w:ascii="Times New Roman" w:cs="Times New Roman" w:eastAsia="Times New Roman" w:hAnsi="Times New Roman"/>
          <w:sz w:val="16"/>
          <w:szCs w:val="16"/>
          <w:color w:val="auto"/>
        </w:rPr>
        <w:t xml:space="preserve">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The number of shares of the registrant’s common stock, par value $0.01 per share, outstanding at April 24, 2025 was 107,227,048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831850</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55880</wp:posOffset>
            </wp:positionV>
            <wp:extent cx="61722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73025</wp:posOffset>
            </wp:positionV>
            <wp:extent cx="6172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680"/>
          </w:cols>
          <w:pgMar w:left="1080" w:top="999" w:right="11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20" w:type="dxa"/>
            <w:vAlign w:val="bottom"/>
            <w:gridSpan w:val="7"/>
          </w:tcPr>
          <w:p>
            <w:pPr>
              <w:jc w:val="center"/>
              <w:ind w:right="2900"/>
              <w:spacing w:after="0"/>
              <w:rPr>
                <w:sz w:val="20"/>
                <w:szCs w:val="20"/>
                <w:color w:val="auto"/>
              </w:rPr>
            </w:pPr>
            <w:r>
              <w:rPr>
                <w:rFonts w:ascii="Times New Roman" w:cs="Times New Roman" w:eastAsia="Times New Roman" w:hAnsi="Times New Roman"/>
                <w:sz w:val="18"/>
                <w:szCs w:val="18"/>
                <w:b w:val="1"/>
                <w:bCs w:val="1"/>
                <w:color w:val="auto"/>
              </w:rPr>
              <w:t>TREX COMPANY, INC.</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20" w:type="dxa"/>
            <w:vAlign w:val="bottom"/>
            <w:gridSpan w:val="6"/>
          </w:tcPr>
          <w:p>
            <w:pPr>
              <w:jc w:val="center"/>
              <w:ind w:right="38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700" w:type="dxa"/>
            <w:vAlign w:val="bottom"/>
          </w:tcPr>
          <w:p>
            <w:pPr>
              <w:spacing w:after="0"/>
              <w:rPr>
                <w:sz w:val="24"/>
                <w:szCs w:val="24"/>
                <w:color w:val="auto"/>
              </w:rPr>
            </w:pPr>
          </w:p>
        </w:tc>
      </w:tr>
      <w:tr>
        <w:trPr>
          <w:trHeight w:val="412"/>
        </w:trPr>
        <w:tc>
          <w:tcPr>
            <w:tcW w:w="660" w:type="dxa"/>
            <w:vAlign w:val="bottom"/>
          </w:tcPr>
          <w:p>
            <w:pPr>
              <w:spacing w:after="0"/>
              <w:rPr>
                <w:sz w:val="24"/>
                <w:szCs w:val="24"/>
                <w:color w:val="auto"/>
              </w:rPr>
            </w:pPr>
          </w:p>
        </w:tc>
        <w:tc>
          <w:tcPr>
            <w:tcW w:w="3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PART I FINANCIAL INFORMATION</w:t>
            </w:r>
          </w:p>
        </w:tc>
        <w:tc>
          <w:tcPr>
            <w:tcW w:w="20" w:type="dxa"/>
            <w:vAlign w:val="bottom"/>
            <w:tcBorders>
              <w:bottom w:val="single" w:sz="8" w:color="0000EE"/>
            </w:tcBorders>
          </w:tcPr>
          <w:p>
            <w:pPr>
              <w:spacing w:after="0"/>
              <w:rPr>
                <w:sz w:val="24"/>
                <w:szCs w:val="24"/>
                <w:color w:val="auto"/>
              </w:rPr>
            </w:pPr>
          </w:p>
        </w:tc>
        <w:tc>
          <w:tcPr>
            <w:tcW w:w="6220" w:type="dxa"/>
            <w:vAlign w:val="bottom"/>
            <w:gridSpan w:val="8"/>
          </w:tcPr>
          <w:p>
            <w:pPr>
              <w:spacing w:after="0"/>
              <w:rPr>
                <w:sz w:val="24"/>
                <w:szCs w:val="24"/>
                <w:color w:val="auto"/>
              </w:rPr>
            </w:pP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412"/>
        </w:trPr>
        <w:tc>
          <w:tcPr>
            <w:tcW w:w="660" w:type="dxa"/>
            <w:vAlign w:val="bottom"/>
          </w:tcPr>
          <w:p>
            <w:pPr>
              <w:spacing w:after="0"/>
              <w:rPr>
                <w:sz w:val="24"/>
                <w:szCs w:val="24"/>
                <w:color w:val="auto"/>
              </w:rPr>
            </w:pPr>
          </w:p>
        </w:tc>
        <w:tc>
          <w:tcPr>
            <w:tcW w:w="930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Condensed Consolidated Financial Statements</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2025 and</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March 31, 2024 (unaudited)</w:t>
            </w:r>
          </w:p>
        </w:tc>
        <w:tc>
          <w:tcPr>
            <w:tcW w:w="108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66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2025 and December 31, 2024 (unaudited)</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Months Ended March 31,</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2025 and March 31, 2024 (unaudited)</w:t>
            </w:r>
          </w:p>
        </w:tc>
        <w:tc>
          <w:tcPr>
            <w:tcW w:w="108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66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2025 and March 31,</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76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2024 (unaudited)</w:t>
            </w:r>
          </w:p>
        </w:tc>
        <w:tc>
          <w:tcPr>
            <w:tcW w:w="1080" w:type="dxa"/>
            <w:vAlign w:val="bottom"/>
            <w:gridSpan w:val="2"/>
          </w:tcPr>
          <w:p>
            <w:pPr>
              <w:jc w:val="right"/>
              <w:ind w:right="660"/>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6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7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6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30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30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20" w:type="dxa"/>
            <w:vAlign w:val="bottom"/>
            <w:gridSpan w:val="5"/>
            <w:shd w:val="clear" w:color="auto" w:fill="0000FF"/>
          </w:tcPr>
          <w:p>
            <w:pPr>
              <w:spacing w:after="0" w:line="20" w:lineRule="exact"/>
              <w:rPr>
                <w:sz w:val="1"/>
                <w:szCs w:val="1"/>
                <w:color w:val="auto"/>
              </w:rPr>
            </w:pPr>
          </w:p>
        </w:tc>
        <w:tc>
          <w:tcPr>
            <w:tcW w:w="4020" w:type="dxa"/>
            <w:vAlign w:val="bottom"/>
            <w:tcBorders>
              <w:left w:val="single" w:sz="8" w:color="0000FF"/>
            </w:tcBorders>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30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6540" w:type="dxa"/>
            <w:vAlign w:val="bottom"/>
            <w:gridSpan w:val="10"/>
          </w:tcPr>
          <w:p>
            <w:pPr>
              <w:spacing w:after="0"/>
              <w:rPr>
                <w:sz w:val="24"/>
                <w:szCs w:val="24"/>
                <w:color w:val="auto"/>
              </w:rPr>
            </w:pP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24</w:t>
            </w:r>
          </w:p>
        </w:tc>
      </w:tr>
      <w:tr>
        <w:trPr>
          <w:trHeight w:val="412"/>
        </w:trPr>
        <w:tc>
          <w:tcPr>
            <w:tcW w:w="660" w:type="dxa"/>
            <w:vAlign w:val="bottom"/>
          </w:tcPr>
          <w:p>
            <w:pPr>
              <w:spacing w:after="0"/>
              <w:rPr>
                <w:sz w:val="24"/>
                <w:szCs w:val="24"/>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8"/>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300" w:type="dxa"/>
            <w:vAlign w:val="bottom"/>
            <w:gridSpan w:val="18"/>
          </w:tcPr>
          <w:p>
            <w:pPr>
              <w:ind w:left="22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8"/>
            <w:shd w:val="clear" w:color="auto" w:fill="0000FF"/>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60" w:type="dxa"/>
            <w:vAlign w:val="bottom"/>
          </w:tcPr>
          <w:p>
            <w:pPr>
              <w:spacing w:after="0" w:line="20" w:lineRule="exact"/>
              <w:rPr>
                <w:sz w:val="1"/>
                <w:szCs w:val="1"/>
                <w:color w:val="auto"/>
              </w:rPr>
            </w:pPr>
          </w:p>
        </w:tc>
        <w:tc>
          <w:tcPr>
            <w:tcW w:w="960" w:type="dxa"/>
            <w:vAlign w:val="bottom"/>
            <w:tcBorders>
              <w:right w:val="single" w:sz="8" w:color="0000EE"/>
            </w:tcBorders>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060" w:type="dxa"/>
            <w:vAlign w:val="bottom"/>
            <w:gridSpan w:val="1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3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25</w:t>
            </w:r>
          </w:p>
        </w:tc>
      </w:tr>
      <w:tr>
        <w:trPr>
          <w:trHeight w:val="668"/>
        </w:trPr>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3740" w:type="dxa"/>
            <w:vAlign w:val="bottom"/>
            <w:gridSpan w:val="10"/>
          </w:tcPr>
          <w:p>
            <w:pPr>
              <w:jc w:val="center"/>
              <w:ind w:left="2810"/>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1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DBE5F1"/>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339,993</w:t>
            </w:r>
          </w:p>
        </w:tc>
        <w:tc>
          <w:tcPr>
            <w:tcW w:w="42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373,635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202,262</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204,023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DBE5F1"/>
          </w:tcPr>
          <w:p>
            <w:pPr>
              <w:spacing w:after="0"/>
              <w:rPr>
                <w:sz w:val="18"/>
                <w:szCs w:val="18"/>
                <w:color w:val="auto"/>
              </w:rPr>
            </w:pPr>
          </w:p>
        </w:tc>
        <w:tc>
          <w:tcPr>
            <w:tcW w:w="120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137,731</w:t>
            </w:r>
          </w:p>
        </w:tc>
        <w:tc>
          <w:tcPr>
            <w:tcW w:w="1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169,612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56,068</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50,600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DBE5F1"/>
          </w:tcPr>
          <w:p>
            <w:pPr>
              <w:spacing w:after="0"/>
              <w:rPr>
                <w:sz w:val="18"/>
                <w:szCs w:val="18"/>
                <w:color w:val="auto"/>
              </w:rPr>
            </w:pPr>
          </w:p>
        </w:tc>
        <w:tc>
          <w:tcPr>
            <w:tcW w:w="120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81,663</w:t>
            </w:r>
          </w:p>
        </w:tc>
        <w:tc>
          <w:tcPr>
            <w:tcW w:w="1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119,012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DBE5F1"/>
          </w:tcPr>
          <w:p>
            <w:pPr>
              <w:spacing w:after="0"/>
              <w:rPr>
                <w:sz w:val="18"/>
                <w:szCs w:val="18"/>
                <w:color w:val="auto"/>
              </w:rPr>
            </w:pPr>
          </w:p>
        </w:tc>
        <w:tc>
          <w:tcPr>
            <w:tcW w:w="120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81,587</w:t>
            </w:r>
          </w:p>
        </w:tc>
        <w:tc>
          <w:tcPr>
            <w:tcW w:w="16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119,017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21,153</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29,947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4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shd w:val="clear" w:color="auto" w:fill="DBE5F1"/>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60,434</w:t>
            </w:r>
          </w:p>
        </w:tc>
        <w:tc>
          <w:tcPr>
            <w:tcW w:w="42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89,070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40" w:type="dxa"/>
            <w:vAlign w:val="bottom"/>
            <w:tcBorders>
              <w:top w:val="single" w:sz="8" w:color="DBE5F1"/>
            </w:tcBorders>
            <w:shd w:val="clear" w:color="auto" w:fill="DBE5F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DBE5F1"/>
            </w:tcBorders>
            <w:shd w:val="clear" w:color="auto" w:fill="DBE5F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6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40" w:type="dxa"/>
            <w:vAlign w:val="bottom"/>
            <w:tcBorders>
              <w:bottom w:val="single" w:sz="8" w:color="DBE5F1"/>
            </w:tcBorders>
            <w:shd w:val="clear" w:color="auto" w:fill="DBE5F1"/>
          </w:tcPr>
          <w:p>
            <w:pPr>
              <w:spacing w:after="0" w:line="196" w:lineRule="exact"/>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60" w:type="dxa"/>
            <w:vAlign w:val="bottom"/>
            <w:tcBorders>
              <w:bottom w:val="single" w:sz="8" w:color="auto"/>
            </w:tcBorders>
            <w:shd w:val="clear" w:color="auto" w:fill="DBE5F1"/>
          </w:tcPr>
          <w:p>
            <w:pPr>
              <w:spacing w:after="0"/>
              <w:rPr>
                <w:sz w:val="20"/>
                <w:szCs w:val="20"/>
                <w:color w:val="auto"/>
              </w:rPr>
            </w:pPr>
          </w:p>
        </w:tc>
        <w:tc>
          <w:tcPr>
            <w:tcW w:w="1200" w:type="dxa"/>
            <w:vAlign w:val="bottom"/>
            <w:tcBorders>
              <w:bottom w:val="single" w:sz="8" w:color="auto"/>
            </w:tcBorders>
            <w:shd w:val="clear" w:color="auto" w:fill="DBE5F1"/>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107,180,665</w:t>
            </w:r>
          </w:p>
        </w:tc>
        <w:tc>
          <w:tcPr>
            <w:tcW w:w="16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180" w:type="dxa"/>
            <w:vAlign w:val="bottom"/>
            <w:tcBorders>
              <w:bottom w:val="single" w:sz="8" w:color="auto"/>
            </w:tcBorders>
            <w:shd w:val="clear" w:color="auto" w:fill="DBE5F1"/>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108,640,168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b w:val="1"/>
                <w:bCs w:val="1"/>
                <w:color w:val="auto"/>
              </w:rPr>
              <w:t>0.56</w:t>
            </w:r>
          </w:p>
        </w:tc>
        <w:tc>
          <w:tcPr>
            <w:tcW w:w="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b w:val="1"/>
                <w:bCs w:val="1"/>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440" w:type="dxa"/>
            <w:vAlign w:val="bottom"/>
            <w:tcBorders>
              <w:bottom w:val="single" w:sz="8" w:color="DBE5F1"/>
            </w:tcBorders>
            <w:shd w:val="clear" w:color="auto" w:fill="DBE5F1"/>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60" w:type="dxa"/>
            <w:vAlign w:val="bottom"/>
            <w:tcBorders>
              <w:bottom w:val="single" w:sz="8" w:color="auto"/>
            </w:tcBorders>
            <w:shd w:val="clear" w:color="auto" w:fill="DBE5F1"/>
          </w:tcPr>
          <w:p>
            <w:pPr>
              <w:spacing w:after="0"/>
              <w:rPr>
                <w:sz w:val="20"/>
                <w:szCs w:val="20"/>
                <w:color w:val="auto"/>
              </w:rPr>
            </w:pPr>
          </w:p>
        </w:tc>
        <w:tc>
          <w:tcPr>
            <w:tcW w:w="1200" w:type="dxa"/>
            <w:vAlign w:val="bottom"/>
            <w:tcBorders>
              <w:bottom w:val="single" w:sz="8" w:color="auto"/>
            </w:tcBorders>
            <w:shd w:val="clear" w:color="auto" w:fill="DBE5F1"/>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107,284,084</w:t>
            </w:r>
          </w:p>
        </w:tc>
        <w:tc>
          <w:tcPr>
            <w:tcW w:w="160" w:type="dxa"/>
            <w:vAlign w:val="bottom"/>
            <w:tcBorders>
              <w:bottom w:val="single" w:sz="8" w:color="DBE5F1"/>
            </w:tcBorders>
            <w:shd w:val="clear" w:color="auto" w:fill="DBE5F1"/>
          </w:tcPr>
          <w:p>
            <w:pPr>
              <w:spacing w:after="0"/>
              <w:rPr>
                <w:sz w:val="20"/>
                <w:szCs w:val="20"/>
                <w:color w:val="auto"/>
              </w:rPr>
            </w:pPr>
          </w:p>
        </w:tc>
        <w:tc>
          <w:tcPr>
            <w:tcW w:w="260" w:type="dxa"/>
            <w:vAlign w:val="bottom"/>
            <w:tcBorders>
              <w:bottom w:val="single" w:sz="8" w:color="auto"/>
            </w:tcBorders>
            <w:shd w:val="clear" w:color="auto" w:fill="DBE5F1"/>
          </w:tcPr>
          <w:p>
            <w:pPr>
              <w:spacing w:after="0"/>
              <w:rPr>
                <w:sz w:val="20"/>
                <w:szCs w:val="20"/>
                <w:color w:val="auto"/>
              </w:rPr>
            </w:pPr>
          </w:p>
        </w:tc>
        <w:tc>
          <w:tcPr>
            <w:tcW w:w="1180" w:type="dxa"/>
            <w:vAlign w:val="bottom"/>
            <w:tcBorders>
              <w:bottom w:val="single" w:sz="8" w:color="auto"/>
            </w:tcBorders>
            <w:shd w:val="clear" w:color="auto" w:fill="DBE5F1"/>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108,790,625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60,434</w:t>
            </w:r>
          </w:p>
        </w:tc>
        <w:tc>
          <w:tcPr>
            <w:tcW w:w="42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
              <w:spacing w:after="0" w:line="196" w:lineRule="exact"/>
              <w:rPr>
                <w:sz w:val="20"/>
                <w:szCs w:val="20"/>
                <w:color w:val="auto"/>
              </w:rPr>
            </w:pPr>
            <w:r>
              <w:rPr>
                <w:rFonts w:ascii="Times New Roman" w:cs="Times New Roman" w:eastAsia="Times New Roman" w:hAnsi="Times New Roman"/>
                <w:sz w:val="18"/>
                <w:szCs w:val="18"/>
                <w:color w:val="auto"/>
              </w:rPr>
              <w:t>89,070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-822325</wp:posOffset>
            </wp:positionV>
            <wp:extent cx="93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-805180</wp:posOffset>
            </wp:positionV>
            <wp:extent cx="939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-496570</wp:posOffset>
            </wp:positionV>
            <wp:extent cx="93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-479425</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-170815</wp:posOffset>
            </wp:positionV>
            <wp:extent cx="93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5094605</wp:posOffset>
            </wp:positionH>
            <wp:positionV relativeFrom="paragraph">
              <wp:posOffset>-153670</wp:posOffset>
            </wp:positionV>
            <wp:extent cx="93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981" w:right="1199" w:bottom="1440" w:gutter="0" w:footer="0" w:header="0"/>
        </w:sectPr>
      </w:pPr>
    </w:p>
    <w:bookmarkStart w:id="3" w:name="page4"/>
    <w:bookmarkEnd w:id="3"/>
    <w:p>
      <w:pPr>
        <w:ind w:left="388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8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42"/>
        </w:trPr>
        <w:tc>
          <w:tcPr>
            <w:tcW w:w="6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4,963</w:t>
            </w:r>
          </w:p>
        </w:tc>
        <w:tc>
          <w:tcPr>
            <w:tcW w:w="4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391,064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88,356</w:t>
            </w: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176,419</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207,282</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19,744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21,978</w:t>
            </w:r>
          </w:p>
        </w:tc>
        <w:tc>
          <w:tcPr>
            <w:tcW w:w="0" w:type="dxa"/>
            <w:vAlign w:val="bottom"/>
          </w:tcPr>
          <w:p>
            <w:pPr>
              <w:spacing w:after="0"/>
              <w:rPr>
                <w:sz w:val="1"/>
                <w:szCs w:val="1"/>
                <w:color w:val="auto"/>
              </w:rPr>
            </w:pPr>
          </w:p>
        </w:tc>
      </w:tr>
      <w:tr>
        <w:trPr>
          <w:trHeight w:val="210"/>
        </w:trPr>
        <w:tc>
          <w:tcPr>
            <w:tcW w:w="670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592,190</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318,908</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967,276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922,868</w:t>
            </w: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49,976</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52,195</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2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23,529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22,048</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DBE5F1"/>
          </w:tcPr>
          <w:p>
            <w:pPr>
              <w:spacing w:after="0"/>
              <w:rPr>
                <w:sz w:val="18"/>
                <w:szCs w:val="18"/>
                <w:color w:val="auto"/>
              </w:rPr>
            </w:pP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8,228</w:t>
            </w:r>
          </w:p>
        </w:tc>
        <w:tc>
          <w:tcPr>
            <w:tcW w:w="14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spacing w:after="0"/>
              <w:rPr>
                <w:sz w:val="18"/>
                <w:szCs w:val="18"/>
                <w:color w:val="auto"/>
              </w:rPr>
            </w:pPr>
          </w:p>
        </w:tc>
        <w:tc>
          <w:tcPr>
            <w:tcW w:w="1180" w:type="dxa"/>
            <w:vAlign w:val="bottom"/>
            <w:tcBorders>
              <w:bottom w:val="single" w:sz="8" w:color="auto"/>
            </w:tcBorders>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8,279</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1,641,199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1,324,298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00" w:type="dxa"/>
            <w:vAlign w:val="bottom"/>
            <w:shd w:val="clear" w:color="auto" w:fill="DBE5F1"/>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DBE5F1"/>
          </w:tcPr>
          <w:p>
            <w:pPr>
              <w:spacing w:after="0"/>
              <w:rPr>
                <w:sz w:val="17"/>
                <w:szCs w:val="17"/>
                <w:color w:val="auto"/>
              </w:rPr>
            </w:pPr>
          </w:p>
        </w:tc>
        <w:tc>
          <w:tcPr>
            <w:tcW w:w="1220" w:type="dxa"/>
            <w:vAlign w:val="bottom"/>
            <w:shd w:val="clear" w:color="auto" w:fill="DBE5F1"/>
          </w:tcPr>
          <w:p>
            <w:pPr>
              <w:spacing w:after="0"/>
              <w:rPr>
                <w:sz w:val="17"/>
                <w:szCs w:val="17"/>
                <w:color w:val="auto"/>
              </w:rPr>
            </w:pPr>
          </w:p>
        </w:tc>
        <w:tc>
          <w:tcPr>
            <w:tcW w:w="14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11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45,576</w:t>
            </w:r>
          </w:p>
        </w:tc>
        <w:tc>
          <w:tcPr>
            <w:tcW w:w="4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61,272</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105,427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72,879</w:t>
            </w: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Accrued warranty</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6,611</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5,726</w:t>
            </w:r>
          </w:p>
        </w:tc>
        <w:tc>
          <w:tcPr>
            <w:tcW w:w="0" w:type="dxa"/>
            <w:vAlign w:val="bottom"/>
          </w:tcPr>
          <w:p>
            <w:pPr>
              <w:spacing w:after="0"/>
              <w:rPr>
                <w:sz w:val="1"/>
                <w:szCs w:val="1"/>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 of credit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443,947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202,600</w:t>
            </w:r>
          </w:p>
        </w:tc>
        <w:tc>
          <w:tcPr>
            <w:tcW w:w="0" w:type="dxa"/>
            <w:vAlign w:val="bottom"/>
          </w:tcPr>
          <w:p>
            <w:pPr>
              <w:spacing w:after="0"/>
              <w:rPr>
                <w:sz w:val="1"/>
                <w:szCs w:val="1"/>
                <w:color w:val="auto"/>
              </w:rPr>
            </w:pPr>
          </w:p>
        </w:tc>
      </w:tr>
      <w:tr>
        <w:trPr>
          <w:trHeight w:val="210"/>
        </w:trPr>
        <w:tc>
          <w:tcPr>
            <w:tcW w:w="670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601,561</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342,477</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56,032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56,032</w:t>
            </w: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39,788</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41,979</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accrued warranty</w:t>
            </w:r>
          </w:p>
        </w:tc>
        <w:tc>
          <w:tcPr>
            <w:tcW w:w="2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17,180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17,109</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DBE5F1"/>
          </w:tcPr>
          <w:p>
            <w:pPr>
              <w:spacing w:after="0"/>
              <w:rPr>
                <w:sz w:val="18"/>
                <w:szCs w:val="18"/>
                <w:color w:val="auto"/>
              </w:rPr>
            </w:pPr>
          </w:p>
        </w:tc>
        <w:tc>
          <w:tcPr>
            <w:tcW w:w="1220" w:type="dxa"/>
            <w:vAlign w:val="bottom"/>
            <w:tcBorders>
              <w:bottom w:val="single" w:sz="8" w:color="auto"/>
            </w:tcBorders>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16,559</w:t>
            </w:r>
          </w:p>
        </w:tc>
        <w:tc>
          <w:tcPr>
            <w:tcW w:w="140" w:type="dxa"/>
            <w:vAlign w:val="bottom"/>
            <w:tcBorders>
              <w:bottom w:val="single" w:sz="8" w:color="DBE5F1"/>
            </w:tcBorders>
            <w:shd w:val="clear" w:color="auto" w:fill="DBE5F1"/>
          </w:tcPr>
          <w:p>
            <w:pPr>
              <w:spacing w:after="0"/>
              <w:rPr>
                <w:sz w:val="18"/>
                <w:szCs w:val="18"/>
                <w:color w:val="auto"/>
              </w:rPr>
            </w:pPr>
          </w:p>
        </w:tc>
        <w:tc>
          <w:tcPr>
            <w:tcW w:w="260" w:type="dxa"/>
            <w:vAlign w:val="bottom"/>
            <w:tcBorders>
              <w:bottom w:val="single" w:sz="8" w:color="auto"/>
            </w:tcBorders>
            <w:shd w:val="clear" w:color="auto" w:fill="DBE5F1"/>
          </w:tcPr>
          <w:p>
            <w:pPr>
              <w:spacing w:after="0"/>
              <w:rPr>
                <w:sz w:val="18"/>
                <w:szCs w:val="18"/>
                <w:color w:val="auto"/>
              </w:rPr>
            </w:pPr>
          </w:p>
        </w:tc>
        <w:tc>
          <w:tcPr>
            <w:tcW w:w="1180" w:type="dxa"/>
            <w:vAlign w:val="bottom"/>
            <w:tcBorders>
              <w:bottom w:val="single" w:sz="8" w:color="auto"/>
            </w:tcBorders>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16,559</w:t>
            </w: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731,120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474,156</w:t>
            </w:r>
          </w:p>
        </w:tc>
        <w:tc>
          <w:tcPr>
            <w:tcW w:w="0" w:type="dxa"/>
            <w:vAlign w:val="bottom"/>
          </w:tcPr>
          <w:p>
            <w:pPr>
              <w:spacing w:after="0"/>
              <w:rPr>
                <w:sz w:val="1"/>
                <w:szCs w:val="1"/>
                <w:color w:val="auto"/>
              </w:rPr>
            </w:pPr>
          </w:p>
        </w:tc>
      </w:tr>
      <w:tr>
        <w:trPr>
          <w:trHeight w:val="210"/>
        </w:trPr>
        <w:tc>
          <w:tcPr>
            <w:tcW w:w="67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2"/>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6700" w:type="dxa"/>
            <w:vAlign w:val="bottom"/>
            <w:shd w:val="clear" w:color="auto" w:fill="DBE5F1"/>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$0.01 par value, 3,000,000 shares authorized; none issued and</w:t>
            </w:r>
          </w:p>
        </w:tc>
        <w:tc>
          <w:tcPr>
            <w:tcW w:w="220" w:type="dxa"/>
            <w:vAlign w:val="bottom"/>
            <w:shd w:val="clear" w:color="auto" w:fill="DBE5F1"/>
          </w:tcPr>
          <w:p>
            <w:pPr>
              <w:spacing w:after="0"/>
              <w:rPr>
                <w:sz w:val="17"/>
                <w:szCs w:val="17"/>
                <w:color w:val="auto"/>
              </w:rPr>
            </w:pPr>
          </w:p>
        </w:tc>
        <w:tc>
          <w:tcPr>
            <w:tcW w:w="1220" w:type="dxa"/>
            <w:vAlign w:val="bottom"/>
            <w:shd w:val="clear" w:color="auto" w:fill="DBE5F1"/>
          </w:tcPr>
          <w:p>
            <w:pPr>
              <w:spacing w:after="0"/>
              <w:rPr>
                <w:sz w:val="17"/>
                <w:szCs w:val="17"/>
                <w:color w:val="auto"/>
              </w:rPr>
            </w:pPr>
          </w:p>
        </w:tc>
        <w:tc>
          <w:tcPr>
            <w:tcW w:w="14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118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00" w:type="dxa"/>
            <w:vAlign w:val="bottom"/>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shd w:val="clear" w:color="auto" w:fill="DBE5F1"/>
          </w:tcPr>
          <w:p>
            <w:pPr>
              <w:spacing w:after="0"/>
              <w:rPr>
                <w:sz w:val="20"/>
                <w:szCs w:val="20"/>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20"/>
                <w:szCs w:val="20"/>
                <w:color w:val="auto"/>
              </w:rPr>
            </w:pPr>
          </w:p>
        </w:tc>
        <w:tc>
          <w:tcPr>
            <w:tcW w:w="260" w:type="dxa"/>
            <w:vAlign w:val="bottom"/>
            <w:shd w:val="clear" w:color="auto" w:fill="DBE5F1"/>
          </w:tcPr>
          <w:p>
            <w:pPr>
              <w:spacing w:after="0"/>
              <w:rPr>
                <w:sz w:val="20"/>
                <w:szCs w:val="20"/>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7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360,000,000 shares authorized; 141,170,958 and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141,098,251 shares issued and 107,227,012 and 107,154,305 shares outstanding, at</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March 31, 2025 and December 31, 2024, respectively</w:t>
            </w:r>
          </w:p>
        </w:tc>
        <w:tc>
          <w:tcPr>
            <w:tcW w:w="22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1,411</w:t>
            </w:r>
          </w:p>
        </w:tc>
        <w:tc>
          <w:tcPr>
            <w:tcW w:w="0" w:type="dxa"/>
            <w:vAlign w:val="bottom"/>
          </w:tcPr>
          <w:p>
            <w:pPr>
              <w:spacing w:after="0"/>
              <w:rPr>
                <w:sz w:val="1"/>
                <w:szCs w:val="1"/>
                <w:color w:val="auto"/>
              </w:rPr>
            </w:pPr>
          </w:p>
        </w:tc>
      </w:tr>
      <w:tr>
        <w:trPr>
          <w:trHeight w:val="216"/>
        </w:trPr>
        <w:tc>
          <w:tcPr>
            <w:tcW w:w="670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DBE5F1"/>
          </w:tcPr>
          <w:p>
            <w:pPr>
              <w:spacing w:after="0"/>
              <w:rPr>
                <w:sz w:val="18"/>
                <w:szCs w:val="18"/>
                <w:color w:val="auto"/>
              </w:rPr>
            </w:pP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color w:val="auto"/>
              </w:rPr>
              <w:t>147,655</w:t>
            </w:r>
          </w:p>
        </w:tc>
        <w:tc>
          <w:tcPr>
            <w:tcW w:w="140" w:type="dxa"/>
            <w:vAlign w:val="bottom"/>
            <w:shd w:val="clear" w:color="auto" w:fill="DBE5F1"/>
          </w:tcPr>
          <w:p>
            <w:pPr>
              <w:spacing w:after="0"/>
              <w:rPr>
                <w:sz w:val="18"/>
                <w:szCs w:val="18"/>
                <w:color w:val="auto"/>
              </w:rPr>
            </w:pPr>
          </w:p>
        </w:tc>
        <w:tc>
          <w:tcPr>
            <w:tcW w:w="260" w:type="dxa"/>
            <w:vAlign w:val="bottom"/>
            <w:shd w:val="clear" w:color="auto" w:fill="DBE5F1"/>
          </w:tcPr>
          <w:p>
            <w:pPr>
              <w:spacing w:after="0"/>
              <w:rPr>
                <w:sz w:val="18"/>
                <w:szCs w:val="18"/>
                <w:color w:val="auto"/>
              </w:rPr>
            </w:pP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148,153</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1,622,884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1,562,450</w:t>
            </w:r>
          </w:p>
        </w:tc>
        <w:tc>
          <w:tcPr>
            <w:tcW w:w="0" w:type="dxa"/>
            <w:vAlign w:val="bottom"/>
          </w:tcPr>
          <w:p>
            <w:pPr>
              <w:spacing w:after="0"/>
              <w:rPr>
                <w:sz w:val="1"/>
                <w:szCs w:val="1"/>
                <w:color w:val="auto"/>
              </w:rPr>
            </w:pPr>
          </w:p>
        </w:tc>
      </w:tr>
      <w:tr>
        <w:trPr>
          <w:trHeight w:val="198"/>
        </w:trPr>
        <w:tc>
          <w:tcPr>
            <w:tcW w:w="6700" w:type="dxa"/>
            <w:vAlign w:val="bottom"/>
            <w:shd w:val="clear" w:color="auto" w:fill="DBE5F1"/>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33,943,946 and 33,943,946 shares at March 31, 2025 and</w:t>
            </w:r>
          </w:p>
        </w:tc>
        <w:tc>
          <w:tcPr>
            <w:tcW w:w="220" w:type="dxa"/>
            <w:vAlign w:val="bottom"/>
            <w:shd w:val="clear" w:color="auto" w:fill="DBE5F1"/>
          </w:tcPr>
          <w:p>
            <w:pPr>
              <w:spacing w:after="0"/>
              <w:rPr>
                <w:sz w:val="17"/>
                <w:szCs w:val="17"/>
                <w:color w:val="auto"/>
              </w:rPr>
            </w:pPr>
          </w:p>
        </w:tc>
        <w:tc>
          <w:tcPr>
            <w:tcW w:w="122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(861,872)</w:t>
            </w:r>
          </w:p>
        </w:tc>
        <w:tc>
          <w:tcPr>
            <w:tcW w:w="140" w:type="dxa"/>
            <w:vAlign w:val="bottom"/>
            <w:shd w:val="clear" w:color="auto" w:fill="DBE5F1"/>
          </w:tcPr>
          <w:p>
            <w:pPr>
              <w:spacing w:after="0"/>
              <w:rPr>
                <w:sz w:val="17"/>
                <w:szCs w:val="17"/>
                <w:color w:val="auto"/>
              </w:rPr>
            </w:pPr>
          </w:p>
        </w:tc>
        <w:tc>
          <w:tcPr>
            <w:tcW w:w="260" w:type="dxa"/>
            <w:vAlign w:val="bottom"/>
            <w:shd w:val="clear" w:color="auto" w:fill="DBE5F1"/>
          </w:tcPr>
          <w:p>
            <w:pPr>
              <w:spacing w:after="0"/>
              <w:rPr>
                <w:sz w:val="17"/>
                <w:szCs w:val="17"/>
                <w:color w:val="auto"/>
              </w:rPr>
            </w:pPr>
          </w:p>
        </w:tc>
        <w:tc>
          <w:tcPr>
            <w:tcW w:w="1180" w:type="dxa"/>
            <w:vAlign w:val="bottom"/>
            <w:vMerge w:val="restart"/>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(861,872)</w:t>
            </w:r>
          </w:p>
        </w:tc>
        <w:tc>
          <w:tcPr>
            <w:tcW w:w="0" w:type="dxa"/>
            <w:vAlign w:val="bottom"/>
          </w:tcPr>
          <w:p>
            <w:pPr>
              <w:spacing w:after="0"/>
              <w:rPr>
                <w:sz w:val="1"/>
                <w:szCs w:val="1"/>
                <w:color w:val="auto"/>
              </w:rPr>
            </w:pPr>
          </w:p>
        </w:tc>
      </w:tr>
      <w:tr>
        <w:trPr>
          <w:trHeight w:val="221"/>
        </w:trPr>
        <w:tc>
          <w:tcPr>
            <w:tcW w:w="6700" w:type="dxa"/>
            <w:vAlign w:val="bottom"/>
            <w:tcBorders>
              <w:bottom w:val="single" w:sz="8" w:color="DBE5F1"/>
            </w:tcBorders>
            <w:shd w:val="clear" w:color="auto" w:fill="DBE5F1"/>
          </w:tcPr>
          <w:p>
            <w:pPr>
              <w:ind w:left="320"/>
              <w:spacing w:after="0"/>
              <w:rPr>
                <w:sz w:val="20"/>
                <w:szCs w:val="20"/>
                <w:color w:val="auto"/>
              </w:rPr>
            </w:pPr>
            <w:r>
              <w:rPr>
                <w:rFonts w:ascii="Times New Roman" w:cs="Times New Roman" w:eastAsia="Times New Roman" w:hAnsi="Times New Roman"/>
                <w:sz w:val="18"/>
                <w:szCs w:val="18"/>
                <w:color w:val="auto"/>
              </w:rPr>
              <w:t>December 31, 2024</w:t>
            </w:r>
          </w:p>
        </w:tc>
        <w:tc>
          <w:tcPr>
            <w:tcW w:w="220" w:type="dxa"/>
            <w:vAlign w:val="bottom"/>
            <w:tcBorders>
              <w:bottom w:val="single" w:sz="8" w:color="auto"/>
            </w:tcBorders>
            <w:shd w:val="clear" w:color="auto" w:fill="DBE5F1"/>
          </w:tcPr>
          <w:p>
            <w:pPr>
              <w:spacing w:after="0"/>
              <w:rPr>
                <w:sz w:val="19"/>
                <w:szCs w:val="19"/>
                <w:color w:val="auto"/>
              </w:rPr>
            </w:pPr>
          </w:p>
        </w:tc>
        <w:tc>
          <w:tcPr>
            <w:tcW w:w="1220" w:type="dxa"/>
            <w:vAlign w:val="bottom"/>
            <w:tcBorders>
              <w:bottom w:val="single" w:sz="8" w:color="auto"/>
            </w:tcBorders>
            <w:vMerge w:val="continue"/>
            <w:shd w:val="clear" w:color="auto" w:fill="DBE5F1"/>
          </w:tcPr>
          <w:p>
            <w:pPr>
              <w:spacing w:after="0"/>
              <w:rPr>
                <w:sz w:val="19"/>
                <w:szCs w:val="19"/>
                <w:color w:val="auto"/>
              </w:rPr>
            </w:pPr>
          </w:p>
        </w:tc>
        <w:tc>
          <w:tcPr>
            <w:tcW w:w="140" w:type="dxa"/>
            <w:vAlign w:val="bottom"/>
            <w:tcBorders>
              <w:bottom w:val="single" w:sz="8" w:color="DBE5F1"/>
            </w:tcBorders>
            <w:shd w:val="clear" w:color="auto" w:fill="DBE5F1"/>
          </w:tcPr>
          <w:p>
            <w:pPr>
              <w:spacing w:after="0"/>
              <w:rPr>
                <w:sz w:val="19"/>
                <w:szCs w:val="19"/>
                <w:color w:val="auto"/>
              </w:rPr>
            </w:pPr>
          </w:p>
        </w:tc>
        <w:tc>
          <w:tcPr>
            <w:tcW w:w="260" w:type="dxa"/>
            <w:vAlign w:val="bottom"/>
            <w:tcBorders>
              <w:bottom w:val="single" w:sz="8" w:color="auto"/>
            </w:tcBorders>
            <w:shd w:val="clear" w:color="auto" w:fill="DBE5F1"/>
          </w:tcPr>
          <w:p>
            <w:pPr>
              <w:spacing w:after="0"/>
              <w:rPr>
                <w:sz w:val="19"/>
                <w:szCs w:val="19"/>
                <w:color w:val="auto"/>
              </w:rPr>
            </w:pPr>
          </w:p>
        </w:tc>
        <w:tc>
          <w:tcPr>
            <w:tcW w:w="1180" w:type="dxa"/>
            <w:vAlign w:val="bottom"/>
            <w:tcBorders>
              <w:bottom w:val="single" w:sz="8" w:color="auto"/>
            </w:tcBorders>
            <w:vMerge w:val="continue"/>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910,079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850,142</w:t>
            </w:r>
          </w:p>
        </w:tc>
        <w:tc>
          <w:tcPr>
            <w:tcW w:w="0" w:type="dxa"/>
            <w:vAlign w:val="bottom"/>
          </w:tcPr>
          <w:p>
            <w:pPr>
              <w:spacing w:after="0"/>
              <w:rPr>
                <w:sz w:val="1"/>
                <w:szCs w:val="1"/>
                <w:color w:val="auto"/>
              </w:rPr>
            </w:pPr>
          </w:p>
        </w:tc>
      </w:tr>
      <w:tr>
        <w:trPr>
          <w:trHeight w:val="230"/>
        </w:trPr>
        <w:tc>
          <w:tcPr>
            <w:tcW w:w="67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shd w:val="clear" w:color="auto" w:fill="DBE5F1"/>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1,641,199</w:t>
            </w:r>
          </w:p>
        </w:tc>
        <w:tc>
          <w:tcPr>
            <w:tcW w:w="4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1,324,298</w:t>
            </w:r>
          </w:p>
        </w:tc>
        <w:tc>
          <w:tcPr>
            <w:tcW w:w="0" w:type="dxa"/>
            <w:vAlign w:val="bottom"/>
          </w:tcPr>
          <w:p>
            <w:pPr>
              <w:spacing w:after="0"/>
              <w:rPr>
                <w:sz w:val="1"/>
                <w:szCs w:val="1"/>
                <w:color w:val="auto"/>
              </w:rPr>
            </w:pPr>
          </w:p>
        </w:tc>
      </w:tr>
      <w:tr>
        <w:trPr>
          <w:trHeight w:val="20"/>
        </w:trPr>
        <w:tc>
          <w:tcPr>
            <w:tcW w:w="6700" w:type="dxa"/>
            <w:vAlign w:val="bottom"/>
            <w:tcBorders>
              <w:top w:val="single" w:sz="8" w:color="DBE5F1"/>
            </w:tcBorders>
            <w:shd w:val="clear" w:color="auto" w:fill="DBE5F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DBE5F1"/>
            </w:tcBorders>
            <w:shd w:val="clear" w:color="auto" w:fill="DBE5F1"/>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-3796665</wp:posOffset>
            </wp:positionV>
            <wp:extent cx="93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-2108200</wp:posOffset>
            </wp:positionV>
            <wp:extent cx="93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-316865</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-24765</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-8255</wp:posOffset>
            </wp:positionV>
            <wp:extent cx="93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2000" w:type="dxa"/>
            <w:vAlign w:val="bottom"/>
            <w:gridSpan w:val="4"/>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8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00" w:type="dxa"/>
            <w:vAlign w:val="bottom"/>
            <w:shd w:val="clear" w:color="auto" w:fill="DBE5F1"/>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00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107,154,305</w:t>
            </w:r>
          </w:p>
        </w:tc>
        <w:tc>
          <w:tcPr>
            <w:tcW w:w="200" w:type="dxa"/>
            <w:vAlign w:val="bottom"/>
            <w:gridSpan w:val="2"/>
            <w:shd w:val="clear" w:color="auto" w:fill="DBE5F1"/>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1,411</w:t>
            </w:r>
          </w:p>
        </w:tc>
        <w:tc>
          <w:tcPr>
            <w:tcW w:w="220" w:type="dxa"/>
            <w:vAlign w:val="bottom"/>
            <w:gridSpan w:val="2"/>
            <w:shd w:val="clear" w:color="auto" w:fill="DBE5F1"/>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148,153</w:t>
            </w:r>
          </w:p>
        </w:tc>
        <w:tc>
          <w:tcPr>
            <w:tcW w:w="160" w:type="dxa"/>
            <w:vAlign w:val="bottom"/>
            <w:gridSpan w:val="2"/>
            <w:shd w:val="clear" w:color="auto" w:fill="DBE5F1"/>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1,562,450</w:t>
            </w:r>
          </w:p>
        </w:tc>
        <w:tc>
          <w:tcPr>
            <w:tcW w:w="80" w:type="dxa"/>
            <w:vAlign w:val="bottom"/>
            <w:shd w:val="clear" w:color="auto" w:fill="DBE5F1"/>
          </w:tcPr>
          <w:p>
            <w:pPr>
              <w:spacing w:after="0"/>
              <w:rPr>
                <w:sz w:val="12"/>
                <w:szCs w:val="12"/>
                <w:color w:val="auto"/>
              </w:rPr>
            </w:pPr>
          </w:p>
        </w:tc>
        <w:tc>
          <w:tcPr>
            <w:tcW w:w="92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33,943,946</w:t>
            </w:r>
          </w:p>
        </w:tc>
        <w:tc>
          <w:tcPr>
            <w:tcW w:w="180" w:type="dxa"/>
            <w:vAlign w:val="bottom"/>
            <w:gridSpan w:val="2"/>
            <w:shd w:val="clear" w:color="auto" w:fill="DBE5F1"/>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DBE5F1"/>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(861,872)</w:t>
            </w:r>
          </w:p>
        </w:tc>
        <w:tc>
          <w:tcPr>
            <w:tcW w:w="240" w:type="dxa"/>
            <w:vAlign w:val="bottom"/>
            <w:gridSpan w:val="2"/>
            <w:shd w:val="clear" w:color="auto" w:fill="DBE5F1"/>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DBE5F1"/>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850,142</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60,434</w:t>
            </w:r>
          </w:p>
        </w:tc>
        <w:tc>
          <w:tcPr>
            <w:tcW w:w="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60,434</w:t>
            </w:r>
          </w:p>
        </w:tc>
        <w:tc>
          <w:tcPr>
            <w:tcW w:w="0" w:type="dxa"/>
            <w:vAlign w:val="bottom"/>
          </w:tcPr>
          <w:p>
            <w:pPr>
              <w:spacing w:after="0"/>
              <w:rPr>
                <w:sz w:val="1"/>
                <w:szCs w:val="1"/>
                <w:color w:val="auto"/>
              </w:rPr>
            </w:pPr>
          </w:p>
        </w:tc>
      </w:tr>
      <w:tr>
        <w:trPr>
          <w:trHeight w:val="148"/>
        </w:trPr>
        <w:tc>
          <w:tcPr>
            <w:tcW w:w="2900" w:type="dxa"/>
            <w:vAlign w:val="bottom"/>
            <w:shd w:val="clear" w:color="auto" w:fill="DBE5F1"/>
          </w:tcPr>
          <w:p>
            <w:pPr>
              <w:spacing w:after="0" w:line="149" w:lineRule="exact"/>
              <w:rPr>
                <w:sz w:val="20"/>
                <w:szCs w:val="20"/>
                <w:color w:val="auto"/>
              </w:rPr>
            </w:pPr>
            <w:r>
              <w:rPr>
                <w:rFonts w:ascii="Times New Roman" w:cs="Times New Roman" w:eastAsia="Times New Roman" w:hAnsi="Times New Roman"/>
                <w:sz w:val="14"/>
                <w:szCs w:val="14"/>
                <w:color w:val="auto"/>
              </w:rPr>
              <w:t>Employee stock plans</w:t>
            </w:r>
          </w:p>
        </w:tc>
        <w:tc>
          <w:tcPr>
            <w:tcW w:w="100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6,068</w:t>
            </w:r>
          </w:p>
        </w:tc>
        <w:tc>
          <w:tcPr>
            <w:tcW w:w="10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80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76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840" w:type="dxa"/>
            <w:vAlign w:val="bottom"/>
            <w:gridSpan w:val="2"/>
            <w:shd w:val="clear" w:color="auto" w:fill="DBE5F1"/>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78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20" w:type="dxa"/>
            <w:vAlign w:val="bottom"/>
            <w:shd w:val="clear" w:color="auto" w:fill="DBE5F1"/>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withheld for taxes on awards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(49,949)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(3,110)</w:t>
            </w:r>
          </w:p>
        </w:tc>
        <w:tc>
          <w:tcPr>
            <w:tcW w:w="0" w:type="dxa"/>
            <w:vAlign w:val="bottom"/>
          </w:tcPr>
          <w:p>
            <w:pPr>
              <w:spacing w:after="0"/>
              <w:rPr>
                <w:sz w:val="1"/>
                <w:szCs w:val="1"/>
                <w:color w:val="auto"/>
              </w:rPr>
            </w:pPr>
          </w:p>
        </w:tc>
      </w:tr>
      <w:tr>
        <w:trPr>
          <w:trHeight w:val="149"/>
        </w:trPr>
        <w:tc>
          <w:tcPr>
            <w:tcW w:w="2900" w:type="dxa"/>
            <w:vAlign w:val="bottom"/>
            <w:tcBorders>
              <w:bottom w:val="single" w:sz="8" w:color="DBE5F1"/>
            </w:tcBorders>
            <w:shd w:val="clear" w:color="auto" w:fill="DBE5F1"/>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116,588</w:t>
            </w:r>
          </w:p>
        </w:tc>
        <w:tc>
          <w:tcPr>
            <w:tcW w:w="100" w:type="dxa"/>
            <w:vAlign w:val="bottom"/>
            <w:tcBorders>
              <w:bottom w:val="single" w:sz="8" w:color="DBE5F1"/>
            </w:tcBorders>
            <w:shd w:val="clear" w:color="auto" w:fill="DBE5F1"/>
          </w:tcPr>
          <w:p>
            <w:pPr>
              <w:spacing w:after="0"/>
              <w:rPr>
                <w:sz w:val="12"/>
                <w:szCs w:val="12"/>
                <w:color w:val="auto"/>
              </w:rPr>
            </w:pPr>
          </w:p>
        </w:tc>
        <w:tc>
          <w:tcPr>
            <w:tcW w:w="100" w:type="dxa"/>
            <w:vAlign w:val="bottom"/>
            <w:tcBorders>
              <w:bottom w:val="single" w:sz="8" w:color="auto"/>
            </w:tcBorders>
            <w:shd w:val="clear" w:color="auto" w:fill="DBE5F1"/>
          </w:tcPr>
          <w:p>
            <w:pPr>
              <w:spacing w:after="0"/>
              <w:rPr>
                <w:sz w:val="12"/>
                <w:szCs w:val="12"/>
                <w:color w:val="auto"/>
              </w:rPr>
            </w:pPr>
          </w:p>
        </w:tc>
        <w:tc>
          <w:tcPr>
            <w:tcW w:w="80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DBE5F1"/>
            </w:tcBorders>
            <w:shd w:val="clear" w:color="auto" w:fill="DBE5F1"/>
          </w:tcPr>
          <w:p>
            <w:pPr>
              <w:spacing w:after="0"/>
              <w:rPr>
                <w:sz w:val="12"/>
                <w:szCs w:val="12"/>
                <w:color w:val="auto"/>
              </w:rPr>
            </w:pPr>
          </w:p>
        </w:tc>
        <w:tc>
          <w:tcPr>
            <w:tcW w:w="100" w:type="dxa"/>
            <w:vAlign w:val="bottom"/>
            <w:tcBorders>
              <w:bottom w:val="single" w:sz="8" w:color="auto"/>
            </w:tcBorders>
            <w:shd w:val="clear" w:color="auto" w:fill="DBE5F1"/>
          </w:tcPr>
          <w:p>
            <w:pPr>
              <w:spacing w:after="0"/>
              <w:rPr>
                <w:sz w:val="12"/>
                <w:szCs w:val="12"/>
                <w:color w:val="auto"/>
              </w:rPr>
            </w:pPr>
          </w:p>
        </w:tc>
        <w:tc>
          <w:tcPr>
            <w:tcW w:w="76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2,313</w:t>
            </w:r>
          </w:p>
        </w:tc>
        <w:tc>
          <w:tcPr>
            <w:tcW w:w="100" w:type="dxa"/>
            <w:vAlign w:val="bottom"/>
            <w:tcBorders>
              <w:bottom w:val="single" w:sz="8" w:color="DBE5F1"/>
            </w:tcBorders>
            <w:shd w:val="clear" w:color="auto" w:fill="DBE5F1"/>
          </w:tcPr>
          <w:p>
            <w:pPr>
              <w:spacing w:after="0"/>
              <w:rPr>
                <w:sz w:val="12"/>
                <w:szCs w:val="12"/>
                <w:color w:val="auto"/>
              </w:rPr>
            </w:pPr>
          </w:p>
        </w:tc>
        <w:tc>
          <w:tcPr>
            <w:tcW w:w="60" w:type="dxa"/>
            <w:vAlign w:val="bottom"/>
            <w:tcBorders>
              <w:bottom w:val="single" w:sz="8" w:color="auto"/>
            </w:tcBorders>
            <w:shd w:val="clear" w:color="auto" w:fill="DBE5F1"/>
          </w:tcPr>
          <w:p>
            <w:pPr>
              <w:spacing w:after="0"/>
              <w:rPr>
                <w:sz w:val="12"/>
                <w:szCs w:val="12"/>
                <w:color w:val="auto"/>
              </w:rPr>
            </w:pPr>
          </w:p>
        </w:tc>
        <w:tc>
          <w:tcPr>
            <w:tcW w:w="76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E5F1"/>
            </w:tcBorders>
            <w:shd w:val="clear" w:color="auto" w:fill="DBE5F1"/>
          </w:tcPr>
          <w:p>
            <w:pPr>
              <w:spacing w:after="0"/>
              <w:rPr>
                <w:sz w:val="12"/>
                <w:szCs w:val="12"/>
                <w:color w:val="auto"/>
              </w:rPr>
            </w:pPr>
          </w:p>
        </w:tc>
        <w:tc>
          <w:tcPr>
            <w:tcW w:w="92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E5F1"/>
            </w:tcBorders>
            <w:shd w:val="clear" w:color="auto" w:fill="DBE5F1"/>
          </w:tcPr>
          <w:p>
            <w:pPr>
              <w:spacing w:after="0"/>
              <w:rPr>
                <w:sz w:val="12"/>
                <w:szCs w:val="12"/>
                <w:color w:val="auto"/>
              </w:rPr>
            </w:pPr>
          </w:p>
        </w:tc>
        <w:tc>
          <w:tcPr>
            <w:tcW w:w="100" w:type="dxa"/>
            <w:vAlign w:val="bottom"/>
            <w:tcBorders>
              <w:bottom w:val="single" w:sz="8" w:color="auto"/>
            </w:tcBorders>
            <w:shd w:val="clear" w:color="auto" w:fill="DBE5F1"/>
          </w:tcPr>
          <w:p>
            <w:pPr>
              <w:spacing w:after="0"/>
              <w:rPr>
                <w:sz w:val="12"/>
                <w:szCs w:val="12"/>
                <w:color w:val="auto"/>
              </w:rPr>
            </w:pPr>
          </w:p>
        </w:tc>
        <w:tc>
          <w:tcPr>
            <w:tcW w:w="78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E5F1"/>
            </w:tcBorders>
            <w:shd w:val="clear" w:color="auto" w:fill="DBE5F1"/>
          </w:tcPr>
          <w:p>
            <w:pPr>
              <w:spacing w:after="0"/>
              <w:rPr>
                <w:sz w:val="12"/>
                <w:szCs w:val="12"/>
                <w:color w:val="auto"/>
              </w:rPr>
            </w:pPr>
          </w:p>
        </w:tc>
        <w:tc>
          <w:tcPr>
            <w:tcW w:w="160" w:type="dxa"/>
            <w:vAlign w:val="bottom"/>
            <w:tcBorders>
              <w:bottom w:val="single" w:sz="8" w:color="auto"/>
            </w:tcBorders>
            <w:shd w:val="clear" w:color="auto" w:fill="DBE5F1"/>
          </w:tcPr>
          <w:p>
            <w:pPr>
              <w:spacing w:after="0"/>
              <w:rPr>
                <w:sz w:val="12"/>
                <w:szCs w:val="12"/>
                <w:color w:val="auto"/>
              </w:rPr>
            </w:pPr>
          </w:p>
        </w:tc>
        <w:tc>
          <w:tcPr>
            <w:tcW w:w="720" w:type="dxa"/>
            <w:vAlign w:val="bottom"/>
            <w:tcBorders>
              <w:bottom w:val="single" w:sz="8" w:color="auto"/>
            </w:tcBorders>
            <w:shd w:val="clear" w:color="auto" w:fill="DBE5F1"/>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2,314</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10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107,227,012</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1,412</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147,655</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1,622,884</w:t>
            </w:r>
          </w:p>
        </w:tc>
        <w:tc>
          <w:tcPr>
            <w:tcW w:w="80" w:type="dxa"/>
            <w:vAlign w:val="bottom"/>
          </w:tcPr>
          <w:p>
            <w:pPr>
              <w:spacing w:after="0"/>
              <w:rPr>
                <w:sz w:val="12"/>
                <w:szCs w:val="12"/>
                <w:color w:val="auto"/>
              </w:rPr>
            </w:pPr>
          </w:p>
        </w:tc>
        <w:tc>
          <w:tcPr>
            <w:tcW w:w="9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33,943,946</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(861,872)</w:t>
            </w: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910,079</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900" w:type="dxa"/>
            <w:vAlign w:val="bottom"/>
          </w:tcPr>
          <w:p>
            <w:pPr>
              <w:spacing w:after="0"/>
              <w:rPr>
                <w:sz w:val="24"/>
                <w:szCs w:val="24"/>
                <w:color w:val="auto"/>
              </w:rPr>
            </w:pPr>
          </w:p>
        </w:tc>
        <w:tc>
          <w:tcPr>
            <w:tcW w:w="2000" w:type="dxa"/>
            <w:vAlign w:val="bottom"/>
            <w:gridSpan w:val="4"/>
            <w:vMerge w:val="restart"/>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24"/>
                <w:szCs w:val="24"/>
                <w:color w:val="auto"/>
              </w:rPr>
            </w:pPr>
          </w:p>
        </w:tc>
        <w:tc>
          <w:tcPr>
            <w:tcW w:w="86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80" w:type="dxa"/>
            <w:vAlign w:val="bottom"/>
            <w:gridSpan w:val="4"/>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900" w:type="dxa"/>
            <w:vAlign w:val="bottom"/>
          </w:tcPr>
          <w:p>
            <w:pPr>
              <w:spacing w:after="0"/>
              <w:rPr>
                <w:sz w:val="13"/>
                <w:szCs w:val="13"/>
                <w:color w:val="auto"/>
              </w:rPr>
            </w:pPr>
          </w:p>
        </w:tc>
        <w:tc>
          <w:tcPr>
            <w:tcW w:w="2000" w:type="dxa"/>
            <w:vAlign w:val="bottom"/>
            <w:tcBorders>
              <w:bottom w:val="single" w:sz="8" w:color="auto"/>
            </w:tcBorders>
            <w:gridSpan w:val="4"/>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880" w:type="dxa"/>
            <w:vAlign w:val="bottom"/>
            <w:tcBorders>
              <w:bottom w:val="single" w:sz="8" w:color="auto"/>
            </w:tcBorders>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00" w:type="dxa"/>
            <w:vAlign w:val="bottom"/>
          </w:tcPr>
          <w:p>
            <w:pPr>
              <w:spacing w:after="0"/>
              <w:rPr>
                <w:sz w:val="12"/>
                <w:szCs w:val="12"/>
                <w:color w:val="auto"/>
              </w:rPr>
            </w:pPr>
          </w:p>
        </w:tc>
        <w:tc>
          <w:tcPr>
            <w:tcW w:w="10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900" w:type="dxa"/>
            <w:vAlign w:val="bottom"/>
            <w:shd w:val="clear" w:color="auto" w:fill="DBE5F1"/>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0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108,611,537</w:t>
            </w:r>
          </w:p>
        </w:tc>
        <w:tc>
          <w:tcPr>
            <w:tcW w:w="200" w:type="dxa"/>
            <w:vAlign w:val="bottom"/>
            <w:gridSpan w:val="2"/>
            <w:shd w:val="clear" w:color="auto" w:fill="DBE5F1"/>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1,410</w:t>
            </w:r>
          </w:p>
        </w:tc>
        <w:tc>
          <w:tcPr>
            <w:tcW w:w="220" w:type="dxa"/>
            <w:vAlign w:val="bottom"/>
            <w:gridSpan w:val="2"/>
            <w:shd w:val="clear" w:color="auto" w:fill="DBE5F1"/>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140,157</w:t>
            </w:r>
          </w:p>
        </w:tc>
        <w:tc>
          <w:tcPr>
            <w:tcW w:w="160" w:type="dxa"/>
            <w:vAlign w:val="bottom"/>
            <w:gridSpan w:val="2"/>
            <w:shd w:val="clear" w:color="auto" w:fill="DBE5F1"/>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1,336,058</w:t>
            </w:r>
          </w:p>
        </w:tc>
        <w:tc>
          <w:tcPr>
            <w:tcW w:w="80" w:type="dxa"/>
            <w:vAlign w:val="bottom"/>
            <w:shd w:val="clear" w:color="auto" w:fill="DBE5F1"/>
          </w:tcPr>
          <w:p>
            <w:pPr>
              <w:spacing w:after="0"/>
              <w:rPr>
                <w:sz w:val="12"/>
                <w:szCs w:val="12"/>
                <w:color w:val="auto"/>
              </w:rPr>
            </w:pPr>
          </w:p>
        </w:tc>
        <w:tc>
          <w:tcPr>
            <w:tcW w:w="920" w:type="dxa"/>
            <w:vAlign w:val="bottom"/>
            <w:shd w:val="clear" w:color="auto" w:fill="DBE5F1"/>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32,363,306</w:t>
            </w:r>
          </w:p>
        </w:tc>
        <w:tc>
          <w:tcPr>
            <w:tcW w:w="180" w:type="dxa"/>
            <w:vAlign w:val="bottom"/>
            <w:gridSpan w:val="2"/>
            <w:shd w:val="clear" w:color="auto" w:fill="DBE5F1"/>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shd w:val="clear" w:color="auto" w:fill="DBE5F1"/>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(760,954)</w:t>
            </w:r>
          </w:p>
        </w:tc>
        <w:tc>
          <w:tcPr>
            <w:tcW w:w="240" w:type="dxa"/>
            <w:vAlign w:val="bottom"/>
            <w:gridSpan w:val="2"/>
            <w:shd w:val="clear" w:color="auto" w:fill="DBE5F1"/>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DBE5F1"/>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716,671</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89,070</w:t>
            </w:r>
          </w:p>
        </w:tc>
        <w:tc>
          <w:tcPr>
            <w:tcW w:w="80" w:type="dxa"/>
            <w:vAlign w:val="bottom"/>
          </w:tcPr>
          <w:p>
            <w:pPr>
              <w:spacing w:after="0"/>
              <w:rPr>
                <w:sz w:val="12"/>
                <w:szCs w:val="12"/>
                <w:color w:val="auto"/>
              </w:rPr>
            </w:pP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89,070</w:t>
            </w:r>
          </w:p>
        </w:tc>
        <w:tc>
          <w:tcPr>
            <w:tcW w:w="0" w:type="dxa"/>
            <w:vAlign w:val="bottom"/>
          </w:tcPr>
          <w:p>
            <w:pPr>
              <w:spacing w:after="0"/>
              <w:rPr>
                <w:sz w:val="1"/>
                <w:szCs w:val="1"/>
                <w:color w:val="auto"/>
              </w:rPr>
            </w:pPr>
          </w:p>
        </w:tc>
      </w:tr>
      <w:tr>
        <w:trPr>
          <w:trHeight w:val="148"/>
        </w:trPr>
        <w:tc>
          <w:tcPr>
            <w:tcW w:w="2900" w:type="dxa"/>
            <w:vAlign w:val="bottom"/>
            <w:shd w:val="clear" w:color="auto" w:fill="DBE5F1"/>
          </w:tcPr>
          <w:p>
            <w:pPr>
              <w:spacing w:after="0" w:line="149" w:lineRule="exact"/>
              <w:rPr>
                <w:sz w:val="20"/>
                <w:szCs w:val="20"/>
                <w:color w:val="auto"/>
              </w:rPr>
            </w:pPr>
            <w:r>
              <w:rPr>
                <w:rFonts w:ascii="Times New Roman" w:cs="Times New Roman" w:eastAsia="Times New Roman" w:hAnsi="Times New Roman"/>
                <w:sz w:val="14"/>
                <w:szCs w:val="14"/>
                <w:color w:val="auto"/>
              </w:rPr>
              <w:t>Employee stock plans</w:t>
            </w:r>
          </w:p>
        </w:tc>
        <w:tc>
          <w:tcPr>
            <w:tcW w:w="100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5,640</w:t>
            </w:r>
          </w:p>
        </w:tc>
        <w:tc>
          <w:tcPr>
            <w:tcW w:w="10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80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76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DBE5F1"/>
          </w:tcPr>
          <w:p>
            <w:pPr>
              <w:spacing w:after="0"/>
              <w:rPr>
                <w:sz w:val="12"/>
                <w:szCs w:val="12"/>
                <w:color w:val="auto"/>
              </w:rPr>
            </w:pPr>
          </w:p>
        </w:tc>
        <w:tc>
          <w:tcPr>
            <w:tcW w:w="60" w:type="dxa"/>
            <w:vAlign w:val="bottom"/>
            <w:shd w:val="clear" w:color="auto" w:fill="DBE5F1"/>
          </w:tcPr>
          <w:p>
            <w:pPr>
              <w:spacing w:after="0"/>
              <w:rPr>
                <w:sz w:val="12"/>
                <w:szCs w:val="12"/>
                <w:color w:val="auto"/>
              </w:rPr>
            </w:pPr>
          </w:p>
        </w:tc>
        <w:tc>
          <w:tcPr>
            <w:tcW w:w="840" w:type="dxa"/>
            <w:vAlign w:val="bottom"/>
            <w:gridSpan w:val="2"/>
            <w:shd w:val="clear" w:color="auto" w:fill="DBE5F1"/>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780" w:type="dxa"/>
            <w:vAlign w:val="bottom"/>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DBE5F1"/>
          </w:tcPr>
          <w:p>
            <w:pPr>
              <w:spacing w:after="0"/>
              <w:rPr>
                <w:sz w:val="12"/>
                <w:szCs w:val="12"/>
                <w:color w:val="auto"/>
              </w:rPr>
            </w:pPr>
          </w:p>
        </w:tc>
        <w:tc>
          <w:tcPr>
            <w:tcW w:w="160" w:type="dxa"/>
            <w:vAlign w:val="bottom"/>
            <w:shd w:val="clear" w:color="auto" w:fill="DBE5F1"/>
          </w:tcPr>
          <w:p>
            <w:pPr>
              <w:spacing w:after="0"/>
              <w:rPr>
                <w:sz w:val="12"/>
                <w:szCs w:val="12"/>
                <w:color w:val="auto"/>
              </w:rPr>
            </w:pPr>
          </w:p>
        </w:tc>
        <w:tc>
          <w:tcPr>
            <w:tcW w:w="720" w:type="dxa"/>
            <w:vAlign w:val="bottom"/>
            <w:shd w:val="clear" w:color="auto" w:fill="DBE5F1"/>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48"/>
        </w:trPr>
        <w:tc>
          <w:tcPr>
            <w:tcW w:w="2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withheld for taxes on awards</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(5,146)</w:t>
            </w:r>
          </w:p>
        </w:tc>
        <w:tc>
          <w:tcPr>
            <w:tcW w:w="0" w:type="dxa"/>
            <w:vAlign w:val="bottom"/>
          </w:tcPr>
          <w:p>
            <w:pPr>
              <w:spacing w:after="0"/>
              <w:rPr>
                <w:sz w:val="1"/>
                <w:szCs w:val="1"/>
                <w:color w:val="auto"/>
              </w:rPr>
            </w:pPr>
          </w:p>
        </w:tc>
      </w:tr>
      <w:tr>
        <w:trPr>
          <w:trHeight w:val="148"/>
        </w:trPr>
        <w:tc>
          <w:tcPr>
            <w:tcW w:w="2900" w:type="dxa"/>
            <w:vAlign w:val="bottom"/>
            <w:tcBorders>
              <w:bottom w:val="single" w:sz="8" w:color="DBE5F1"/>
            </w:tcBorders>
            <w:shd w:val="clear" w:color="auto" w:fill="DBE5F1"/>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130,683</w:t>
            </w:r>
          </w:p>
        </w:tc>
        <w:tc>
          <w:tcPr>
            <w:tcW w:w="100" w:type="dxa"/>
            <w:vAlign w:val="bottom"/>
            <w:tcBorders>
              <w:bottom w:val="single" w:sz="8" w:color="DBE5F1"/>
            </w:tcBorders>
            <w:shd w:val="clear" w:color="auto" w:fill="DBE5F1"/>
          </w:tcPr>
          <w:p>
            <w:pPr>
              <w:spacing w:after="0"/>
              <w:rPr>
                <w:sz w:val="12"/>
                <w:szCs w:val="12"/>
                <w:color w:val="auto"/>
              </w:rPr>
            </w:pPr>
          </w:p>
        </w:tc>
        <w:tc>
          <w:tcPr>
            <w:tcW w:w="100" w:type="dxa"/>
            <w:vAlign w:val="bottom"/>
            <w:tcBorders>
              <w:bottom w:val="single" w:sz="8" w:color="auto"/>
            </w:tcBorders>
            <w:shd w:val="clear" w:color="auto" w:fill="DBE5F1"/>
          </w:tcPr>
          <w:p>
            <w:pPr>
              <w:spacing w:after="0"/>
              <w:rPr>
                <w:sz w:val="12"/>
                <w:szCs w:val="12"/>
                <w:color w:val="auto"/>
              </w:rPr>
            </w:pPr>
          </w:p>
        </w:tc>
        <w:tc>
          <w:tcPr>
            <w:tcW w:w="80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DBE5F1"/>
            </w:tcBorders>
            <w:shd w:val="clear" w:color="auto" w:fill="DBE5F1"/>
          </w:tcPr>
          <w:p>
            <w:pPr>
              <w:spacing w:after="0"/>
              <w:rPr>
                <w:sz w:val="12"/>
                <w:szCs w:val="12"/>
                <w:color w:val="auto"/>
              </w:rPr>
            </w:pPr>
          </w:p>
        </w:tc>
        <w:tc>
          <w:tcPr>
            <w:tcW w:w="100" w:type="dxa"/>
            <w:vAlign w:val="bottom"/>
            <w:tcBorders>
              <w:bottom w:val="single" w:sz="8" w:color="auto"/>
            </w:tcBorders>
            <w:shd w:val="clear" w:color="auto" w:fill="DBE5F1"/>
          </w:tcPr>
          <w:p>
            <w:pPr>
              <w:spacing w:after="0"/>
              <w:rPr>
                <w:sz w:val="12"/>
                <w:szCs w:val="12"/>
                <w:color w:val="auto"/>
              </w:rPr>
            </w:pPr>
          </w:p>
        </w:tc>
        <w:tc>
          <w:tcPr>
            <w:tcW w:w="76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3,153</w:t>
            </w:r>
          </w:p>
        </w:tc>
        <w:tc>
          <w:tcPr>
            <w:tcW w:w="100" w:type="dxa"/>
            <w:vAlign w:val="bottom"/>
            <w:tcBorders>
              <w:bottom w:val="single" w:sz="8" w:color="DBE5F1"/>
            </w:tcBorders>
            <w:shd w:val="clear" w:color="auto" w:fill="DBE5F1"/>
          </w:tcPr>
          <w:p>
            <w:pPr>
              <w:spacing w:after="0"/>
              <w:rPr>
                <w:sz w:val="12"/>
                <w:szCs w:val="12"/>
                <w:color w:val="auto"/>
              </w:rPr>
            </w:pPr>
          </w:p>
        </w:tc>
        <w:tc>
          <w:tcPr>
            <w:tcW w:w="60" w:type="dxa"/>
            <w:vAlign w:val="bottom"/>
            <w:tcBorders>
              <w:bottom w:val="single" w:sz="8" w:color="auto"/>
            </w:tcBorders>
            <w:shd w:val="clear" w:color="auto" w:fill="DBE5F1"/>
          </w:tcPr>
          <w:p>
            <w:pPr>
              <w:spacing w:after="0"/>
              <w:rPr>
                <w:sz w:val="12"/>
                <w:szCs w:val="12"/>
                <w:color w:val="auto"/>
              </w:rPr>
            </w:pPr>
          </w:p>
        </w:tc>
        <w:tc>
          <w:tcPr>
            <w:tcW w:w="76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E5F1"/>
            </w:tcBorders>
            <w:shd w:val="clear" w:color="auto" w:fill="DBE5F1"/>
          </w:tcPr>
          <w:p>
            <w:pPr>
              <w:spacing w:after="0"/>
              <w:rPr>
                <w:sz w:val="12"/>
                <w:szCs w:val="12"/>
                <w:color w:val="auto"/>
              </w:rPr>
            </w:pPr>
          </w:p>
        </w:tc>
        <w:tc>
          <w:tcPr>
            <w:tcW w:w="92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E5F1"/>
            </w:tcBorders>
            <w:shd w:val="clear" w:color="auto" w:fill="DBE5F1"/>
          </w:tcPr>
          <w:p>
            <w:pPr>
              <w:spacing w:after="0"/>
              <w:rPr>
                <w:sz w:val="12"/>
                <w:szCs w:val="12"/>
                <w:color w:val="auto"/>
              </w:rPr>
            </w:pPr>
          </w:p>
        </w:tc>
        <w:tc>
          <w:tcPr>
            <w:tcW w:w="100" w:type="dxa"/>
            <w:vAlign w:val="bottom"/>
            <w:tcBorders>
              <w:bottom w:val="single" w:sz="8" w:color="auto"/>
            </w:tcBorders>
            <w:shd w:val="clear" w:color="auto" w:fill="DBE5F1"/>
          </w:tcPr>
          <w:p>
            <w:pPr>
              <w:spacing w:after="0"/>
              <w:rPr>
                <w:sz w:val="12"/>
                <w:szCs w:val="12"/>
                <w:color w:val="auto"/>
              </w:rPr>
            </w:pPr>
          </w:p>
        </w:tc>
        <w:tc>
          <w:tcPr>
            <w:tcW w:w="780" w:type="dxa"/>
            <w:vAlign w:val="bottom"/>
            <w:tcBorders>
              <w:bottom w:val="single" w:sz="8" w:color="auto"/>
            </w:tcBorders>
            <w:shd w:val="clear" w:color="auto" w:fill="DBE5F1"/>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DBE5F1"/>
            </w:tcBorders>
            <w:shd w:val="clear" w:color="auto" w:fill="DBE5F1"/>
          </w:tcPr>
          <w:p>
            <w:pPr>
              <w:spacing w:after="0"/>
              <w:rPr>
                <w:sz w:val="12"/>
                <w:szCs w:val="12"/>
                <w:color w:val="auto"/>
              </w:rPr>
            </w:pPr>
          </w:p>
        </w:tc>
        <w:tc>
          <w:tcPr>
            <w:tcW w:w="160" w:type="dxa"/>
            <w:vAlign w:val="bottom"/>
            <w:tcBorders>
              <w:bottom w:val="single" w:sz="8" w:color="auto"/>
            </w:tcBorders>
            <w:shd w:val="clear" w:color="auto" w:fill="DBE5F1"/>
          </w:tcPr>
          <w:p>
            <w:pPr>
              <w:spacing w:after="0"/>
              <w:rPr>
                <w:sz w:val="12"/>
                <w:szCs w:val="12"/>
                <w:color w:val="auto"/>
              </w:rPr>
            </w:pPr>
          </w:p>
        </w:tc>
        <w:tc>
          <w:tcPr>
            <w:tcW w:w="720" w:type="dxa"/>
            <w:vAlign w:val="bottom"/>
            <w:tcBorders>
              <w:bottom w:val="single" w:sz="8" w:color="auto"/>
            </w:tcBorders>
            <w:shd w:val="clear" w:color="auto" w:fill="DBE5F1"/>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3,154</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10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108,692,757</w:t>
            </w:r>
          </w:p>
        </w:tc>
        <w:tc>
          <w:tcPr>
            <w:tcW w:w="20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1,411</w:t>
            </w:r>
          </w:p>
        </w:tc>
        <w:tc>
          <w:tcPr>
            <w:tcW w:w="2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138,561</w:t>
            </w:r>
          </w:p>
        </w:tc>
        <w:tc>
          <w:tcPr>
            <w:tcW w:w="1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1,425,128</w:t>
            </w:r>
          </w:p>
        </w:tc>
        <w:tc>
          <w:tcPr>
            <w:tcW w:w="80" w:type="dxa"/>
            <w:vAlign w:val="bottom"/>
          </w:tcPr>
          <w:p>
            <w:pPr>
              <w:spacing w:after="0"/>
              <w:rPr>
                <w:sz w:val="12"/>
                <w:szCs w:val="12"/>
                <w:color w:val="auto"/>
              </w:rPr>
            </w:pPr>
          </w:p>
        </w:tc>
        <w:tc>
          <w:tcPr>
            <w:tcW w:w="9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32,363,306</w:t>
            </w:r>
          </w:p>
        </w:tc>
        <w:tc>
          <w:tcPr>
            <w:tcW w:w="18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(760,954)</w:t>
            </w:r>
          </w:p>
        </w:tc>
        <w:tc>
          <w:tcPr>
            <w:tcW w:w="2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804,146</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-1156335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-1156335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-1156335</wp:posOffset>
            </wp:positionV>
            <wp:extent cx="60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-1156335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-1156335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-1156335</wp:posOffset>
            </wp:positionV>
            <wp:extent cx="603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2471420</wp:posOffset>
            </wp:positionH>
            <wp:positionV relativeFrom="paragraph">
              <wp:posOffset>-128270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3114040</wp:posOffset>
            </wp:positionH>
            <wp:positionV relativeFrom="paragraph">
              <wp:posOffset>-128270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-128270</wp:posOffset>
            </wp:positionV>
            <wp:extent cx="603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-128270</wp:posOffset>
            </wp:positionV>
            <wp:extent cx="603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4948555</wp:posOffset>
            </wp:positionH>
            <wp:positionV relativeFrom="paragraph">
              <wp:posOffset>-128270</wp:posOffset>
            </wp:positionV>
            <wp:extent cx="603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-128270</wp:posOffset>
            </wp:positionV>
            <wp:extent cx="603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5" w:name="page6"/>
    <w:bookmarkEnd w:id="5"/>
    <w:p>
      <w:pPr>
        <w:ind w:left="386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7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60,434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89,070</w:t>
            </w: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14,249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14,154</w:t>
            </w: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(5,212)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3,155</w:t>
            </w: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(Gain)/Loss on disposal of property, plant and equipment</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2,122</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 non-cash adjustments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r>
      <w:tr>
        <w:trPr>
          <w:trHeight w:val="216"/>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(302,708)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(332,333)</w:t>
            </w:r>
          </w:p>
        </w:tc>
      </w:tr>
      <w:tr>
        <w:trPr>
          <w:trHeight w:val="216"/>
        </w:trPr>
        <w:tc>
          <w:tcPr>
            <w:tcW w:w="608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30,863</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(16,796)</w:t>
            </w:r>
          </w:p>
        </w:tc>
      </w:tr>
      <w:tr>
        <w:trPr>
          <w:trHeight w:val="216"/>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2,161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6080" w:type="dxa"/>
            <w:vAlign w:val="bottom"/>
            <w:shd w:val="clear" w:color="auto" w:fill="DBE5F1"/>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4,187</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26,238</w:t>
            </w:r>
          </w:p>
        </w:tc>
      </w:tr>
      <w:tr>
        <w:trPr>
          <w:trHeight w:val="216"/>
        </w:trPr>
        <w:tc>
          <w:tcPr>
            <w:tcW w:w="60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15,278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12,041</w:t>
            </w:r>
          </w:p>
        </w:tc>
      </w:tr>
      <w:tr>
        <w:trPr>
          <w:trHeight w:val="216"/>
        </w:trPr>
        <w:tc>
          <w:tcPr>
            <w:tcW w:w="6080" w:type="dxa"/>
            <w:vAlign w:val="bottom"/>
            <w:tcBorders>
              <w:bottom w:val="single" w:sz="8" w:color="DBE5F1"/>
            </w:tcBorders>
            <w:shd w:val="clear" w:color="auto" w:fill="DBE5F1"/>
          </w:tcPr>
          <w:p>
            <w:pPr>
              <w:ind w:left="540"/>
              <w:spacing w:after="0"/>
              <w:rPr>
                <w:sz w:val="20"/>
                <w:szCs w:val="20"/>
                <w:color w:val="auto"/>
              </w:rPr>
            </w:pPr>
            <w:r>
              <w:rPr>
                <w:rFonts w:ascii="Times New Roman" w:cs="Times New Roman" w:eastAsia="Times New Roman" w:hAnsi="Times New Roman"/>
                <w:sz w:val="18"/>
                <w:szCs w:val="18"/>
                <w:color w:val="auto"/>
              </w:rPr>
              <w:t>Income taxes receivable/payable</w:t>
            </w:r>
          </w:p>
        </w:tc>
        <w:tc>
          <w:tcPr>
            <w:tcW w:w="600" w:type="dxa"/>
            <w:vAlign w:val="bottom"/>
            <w:tcBorders>
              <w:bottom w:val="single" w:sz="8" w:color="DBE5F1"/>
            </w:tcBorders>
            <w:shd w:val="clear" w:color="auto" w:fill="DBE5F1"/>
          </w:tcPr>
          <w:p>
            <w:pPr>
              <w:spacing w:after="0"/>
              <w:rPr>
                <w:sz w:val="18"/>
                <w:szCs w:val="18"/>
                <w:color w:val="auto"/>
              </w:rPr>
            </w:pPr>
          </w:p>
        </w:tc>
        <w:tc>
          <w:tcPr>
            <w:tcW w:w="320" w:type="dxa"/>
            <w:vAlign w:val="bottom"/>
            <w:tcBorders>
              <w:bottom w:val="single" w:sz="8" w:color="auto"/>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19,150</w:t>
            </w:r>
          </w:p>
        </w:tc>
        <w:tc>
          <w:tcPr>
            <w:tcW w:w="140" w:type="dxa"/>
            <w:vAlign w:val="bottom"/>
            <w:tcBorders>
              <w:bottom w:val="single" w:sz="8" w:color="DBE5F1"/>
            </w:tcBorders>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33,715</w:t>
            </w:r>
          </w:p>
        </w:tc>
      </w:tr>
      <w:tr>
        <w:trPr>
          <w:trHeight w:val="209"/>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(154,013)</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(174,044)</w:t>
            </w:r>
          </w:p>
        </w:tc>
      </w:tr>
      <w:tr>
        <w:trPr>
          <w:trHeight w:val="210"/>
        </w:trPr>
        <w:tc>
          <w:tcPr>
            <w:tcW w:w="6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property, plant and equipment</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(79,486)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(37,720)</w:t>
            </w: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Purchased intangibles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6080" w:type="dxa"/>
            <w:vAlign w:val="bottom"/>
            <w:tcBorders>
              <w:bottom w:val="single" w:sz="8" w:color="DBE5F1"/>
            </w:tcBorders>
            <w:shd w:val="clear" w:color="auto" w:fill="DBE5F1"/>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600" w:type="dxa"/>
            <w:vAlign w:val="bottom"/>
            <w:tcBorders>
              <w:bottom w:val="single" w:sz="8" w:color="DBE5F1"/>
            </w:tcBorders>
            <w:shd w:val="clear" w:color="auto" w:fill="DBE5F1"/>
          </w:tcPr>
          <w:p>
            <w:pPr>
              <w:spacing w:after="0"/>
              <w:rPr>
                <w:sz w:val="18"/>
                <w:szCs w:val="18"/>
                <w:color w:val="auto"/>
              </w:rPr>
            </w:pPr>
          </w:p>
        </w:tc>
        <w:tc>
          <w:tcPr>
            <w:tcW w:w="320" w:type="dxa"/>
            <w:vAlign w:val="bottom"/>
            <w:tcBorders>
              <w:bottom w:val="single" w:sz="8" w:color="auto"/>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b w:val="1"/>
                <w:bCs w:val="1"/>
                <w:color w:val="auto"/>
              </w:rPr>
              <w:t>(79,965)</w:t>
            </w:r>
          </w:p>
        </w:tc>
        <w:tc>
          <w:tcPr>
            <w:tcW w:w="140" w:type="dxa"/>
            <w:vAlign w:val="bottom"/>
            <w:tcBorders>
              <w:bottom w:val="single" w:sz="8" w:color="DBE5F1"/>
            </w:tcBorders>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b w:val="1"/>
                <w:bCs w:val="1"/>
                <w:color w:val="auto"/>
              </w:rPr>
              <w:t>(37,614)</w:t>
            </w:r>
          </w:p>
        </w:tc>
      </w:tr>
      <w:tr>
        <w:trPr>
          <w:trHeight w:val="425"/>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Borrowings under line of credit</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257,047</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258,500</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under line of credit</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(5,145)</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employee stock purchase and option plans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608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Financing costs</w:t>
            </w:r>
          </w:p>
        </w:tc>
        <w:tc>
          <w:tcPr>
            <w:tcW w:w="600" w:type="dxa"/>
            <w:vAlign w:val="bottom"/>
            <w:tcBorders>
              <w:bottom w:val="single" w:sz="8" w:color="DBE5F1"/>
            </w:tcBorders>
            <w:shd w:val="clear" w:color="auto" w:fill="DBE5F1"/>
          </w:tcPr>
          <w:p>
            <w:pPr>
              <w:spacing w:after="0"/>
              <w:rPr>
                <w:sz w:val="18"/>
                <w:szCs w:val="18"/>
                <w:color w:val="auto"/>
              </w:rPr>
            </w:pPr>
          </w:p>
        </w:tc>
        <w:tc>
          <w:tcPr>
            <w:tcW w:w="320" w:type="dxa"/>
            <w:vAlign w:val="bottom"/>
            <w:tcBorders>
              <w:bottom w:val="single" w:sz="8" w:color="auto"/>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DBE5F1"/>
            </w:tcBorders>
            <w:shd w:val="clear" w:color="auto" w:fill="DBE5F1"/>
          </w:tcPr>
          <w:p>
            <w:pPr>
              <w:spacing w:after="0"/>
              <w:rPr>
                <w:sz w:val="18"/>
                <w:szCs w:val="18"/>
                <w:color w:val="auto"/>
              </w:rPr>
            </w:pPr>
          </w:p>
        </w:tc>
        <w:tc>
          <w:tcPr>
            <w:tcW w:w="300" w:type="dxa"/>
            <w:vAlign w:val="bottom"/>
            <w:tcBorders>
              <w:bottom w:val="single" w:sz="8" w:color="auto"/>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237,649</w:t>
            </w: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212,752</w:t>
            </w:r>
          </w:p>
        </w:tc>
      </w:tr>
      <w:tr>
        <w:trPr>
          <w:trHeight w:val="209"/>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3,671</w:t>
            </w: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1,094</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1,292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1,959</w:t>
            </w:r>
          </w:p>
        </w:tc>
      </w:tr>
      <w:tr>
        <w:trPr>
          <w:trHeight w:val="250"/>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2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4,963</w:t>
            </w:r>
          </w:p>
        </w:tc>
        <w:tc>
          <w:tcPr>
            <w:tcW w:w="44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3,053</w:t>
            </w:r>
          </w:p>
        </w:tc>
      </w:tr>
      <w:tr>
        <w:trPr>
          <w:trHeight w:val="196"/>
        </w:trPr>
        <w:tc>
          <w:tcPr>
            <w:tcW w:w="6080" w:type="dxa"/>
            <w:vAlign w:val="bottom"/>
            <w:tcBorders>
              <w:top w:val="single" w:sz="8" w:color="DBE5F1"/>
            </w:tcBorders>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w:t>
            </w:r>
          </w:p>
        </w:tc>
        <w:tc>
          <w:tcPr>
            <w:tcW w:w="600" w:type="dxa"/>
            <w:vAlign w:val="bottom"/>
            <w:tcBorders>
              <w:top w:val="single" w:sz="8" w:color="DBE5F1"/>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DBE5F1"/>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16"/>
        </w:trPr>
        <w:tc>
          <w:tcPr>
            <w:tcW w:w="608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Cash paid for interest, net of capitalized interest</w:t>
            </w:r>
          </w:p>
        </w:tc>
        <w:tc>
          <w:tcPr>
            <w:tcW w:w="92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E5F1"/>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DBE5F1"/>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BE5F1"/>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2,003</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1,444</w:t>
            </w:r>
          </w:p>
        </w:tc>
      </w:tr>
      <w:tr>
        <w:trPr>
          <w:trHeight w:val="216"/>
        </w:trPr>
        <w:tc>
          <w:tcPr>
            <w:tcW w:w="60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Supplemental non-cash investing and financing disclosure:</w:t>
            </w:r>
          </w:p>
        </w:tc>
        <w:tc>
          <w:tcPr>
            <w:tcW w:w="600" w:type="dxa"/>
            <w:vAlign w:val="bottom"/>
            <w:shd w:val="clear" w:color="auto" w:fill="DBE5F1"/>
          </w:tcPr>
          <w:p>
            <w:pPr>
              <w:spacing w:after="0"/>
              <w:rPr>
                <w:sz w:val="18"/>
                <w:szCs w:val="18"/>
                <w:color w:val="auto"/>
              </w:rPr>
            </w:pPr>
          </w:p>
        </w:tc>
        <w:tc>
          <w:tcPr>
            <w:tcW w:w="32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1140" w:type="dxa"/>
            <w:vAlign w:val="bottom"/>
            <w:shd w:val="clear" w:color="auto" w:fill="DBE5F1"/>
          </w:tcPr>
          <w:p>
            <w:pPr>
              <w:spacing w:after="0"/>
              <w:rPr>
                <w:sz w:val="18"/>
                <w:szCs w:val="18"/>
                <w:color w:val="auto"/>
              </w:rPr>
            </w:pPr>
          </w:p>
        </w:tc>
      </w:tr>
      <w:tr>
        <w:trPr>
          <w:trHeight w:val="234"/>
        </w:trPr>
        <w:tc>
          <w:tcPr>
            <w:tcW w:w="6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in accounts payable and accrued expenses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20,834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-3251200</wp:posOffset>
            </wp:positionV>
            <wp:extent cx="939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-2265680</wp:posOffset>
            </wp:positionV>
            <wp:extent cx="939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-1296670</wp:posOffset>
            </wp:positionV>
            <wp:extent cx="939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-722630</wp:posOffset>
            </wp:positionV>
            <wp:extent cx="939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5163185</wp:posOffset>
            </wp:positionH>
            <wp:positionV relativeFrom="paragraph">
              <wp:posOffset>-705485</wp:posOffset>
            </wp:positionV>
            <wp:extent cx="93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6" w:name="page7"/>
    <w:bookmarkEnd w:id="6"/>
    <w:p>
      <w:pPr>
        <w:ind w:left="386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pacing w:after="0" w:line="185"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March 31, 2024</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176" w:lineRule="exact"/>
        <w:rPr>
          <w:sz w:val="20"/>
          <w:szCs w:val="20"/>
          <w:color w:val="auto"/>
        </w:rPr>
      </w:pPr>
    </w:p>
    <w:p>
      <w:pPr>
        <w:ind w:left="400" w:hanging="396"/>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w:t>
      </w:r>
    </w:p>
    <w:p>
      <w:pPr>
        <w:spacing w:after="0" w:line="189" w:lineRule="exact"/>
        <w:rPr>
          <w:sz w:val="20"/>
          <w:szCs w:val="20"/>
          <w:color w:val="auto"/>
        </w:rPr>
      </w:pPr>
    </w:p>
    <w:p>
      <w:pPr>
        <w:ind w:right="20" w:firstLine="401"/>
        <w:spacing w:after="0" w:line="243" w:lineRule="auto"/>
        <w:rPr>
          <w:sz w:val="20"/>
          <w:szCs w:val="20"/>
          <w:color w:val="auto"/>
        </w:rPr>
      </w:pPr>
      <w:r>
        <w:rPr>
          <w:rFonts w:ascii="Times New Roman" w:cs="Times New Roman" w:eastAsia="Times New Roman" w:hAnsi="Times New Roman"/>
          <w:sz w:val="18"/>
          <w:szCs w:val="18"/>
          <w:color w:val="auto"/>
        </w:rPr>
        <w:t>Trex Company, Inc. (Trex or Company), is the world’s largest manufacturer of high-performance, low-maintenance wood-alternative decking and railing products and a leader in outdoor living products and accessories, marketed under the brand name 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with more than 30 years of product experience. A majority of its products are manufactured in a proprietary process that combines reclaimed wood fibers and scrap polyethylene. The Company is incorporated in Delaware. The principal executive offices are located at 2500 Trex Way, Winchester, Virginia 22601, and the telephone number at that address is (540) 542-6300. The Company operates in a single reportable segment.</w:t>
      </w:r>
    </w:p>
    <w:p>
      <w:pPr>
        <w:spacing w:after="0" w:line="154" w:lineRule="exact"/>
        <w:rPr>
          <w:sz w:val="20"/>
          <w:szCs w:val="20"/>
          <w:color w:val="auto"/>
        </w:rPr>
      </w:pPr>
    </w:p>
    <w:p>
      <w:pPr>
        <w:ind w:left="400" w:hanging="396"/>
        <w:spacing w:after="0"/>
        <w:tabs>
          <w:tab w:leader="none" w:pos="4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ind w:right="60" w:firstLine="401"/>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for interim financial information and U.S. Securities and Exchange Commission instructions to Form 10-Q and Article 10 of Regulation S-X and, accordingly, the accompanying unaudited condensed consolidated financial statements do not include all of the information and notes required by accounting principles generally accepted in the United States for complete financial statements. In the opinion of management, all adjustments (consisting of normal and recurring adjustments, except as otherwise described herein) considered necessary for a fair presentation have been included in the accompanying unaudited condensed consolidated financial statements. Certain reclassifications have been made to prior period balances to conform to current year presentation. The unaudited condensed consolidated financial statements include the accounts of the Company for all periods presented.</w:t>
      </w:r>
    </w:p>
    <w:p>
      <w:pPr>
        <w:spacing w:after="0" w:line="148"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The unaudited consolidated results of operations for the three months ended March 31, 2025, are not necessarily indicative of the results that may be expected for the fiscal year ending December 31, 2025. The Company’s results of operations are affected by a number of factors, including, but not limited to, the cost to manufacture and distribute products, cost of raw materials, inflation, tariffs, consumer spending and preferences, interest rates, the impact of any supply chain disruptions, economic conditions, and/or any adverse effects from global health pandemics and geopolitical conflicts.</w:t>
      </w:r>
    </w:p>
    <w:p>
      <w:pPr>
        <w:spacing w:after="0" w:line="143" w:lineRule="exact"/>
        <w:rPr>
          <w:sz w:val="20"/>
          <w:szCs w:val="20"/>
          <w:color w:val="auto"/>
        </w:rPr>
      </w:pPr>
    </w:p>
    <w:p>
      <w:pPr>
        <w:ind w:right="560" w:firstLine="401"/>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notes thereto included in the Annual Report of Trex Company, Inc. on Form 10-K for the year ended December 31, 2024, as filed with the U.S. Securities and Exchange Commission.</w:t>
      </w:r>
    </w:p>
    <w:p>
      <w:pPr>
        <w:spacing w:after="0" w:line="145" w:lineRule="exact"/>
        <w:rPr>
          <w:sz w:val="20"/>
          <w:szCs w:val="20"/>
          <w:color w:val="auto"/>
        </w:rPr>
      </w:pPr>
    </w:p>
    <w:p>
      <w:pPr>
        <w:ind w:left="400" w:hanging="396"/>
        <w:spacing w:after="0"/>
        <w:tabs>
          <w:tab w:leader="none" w:pos="4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ADOPTED ACCOUNTING STANDARDS</w:t>
      </w:r>
    </w:p>
    <w:p>
      <w:pPr>
        <w:spacing w:after="0" w:line="12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The guidance requires disclosure of significant segment expenses which are regularly provided to the chief operating decision maker (CODM), the composition of and amount of other segment items, the CODM’s title and position within the organization, and how the CODM uses the reported measure(s) of segment’s profit or loss to assess the performance of the segment. In addition, on an interim basis, all segment profit or loss and asset disclosures currently required on an annual basis must be reported, as well as those required by Topic 280. The guidance allows for multiple measures of a segment’s profit or loss to be reported. Entities which have a single reportable segment must apply Topic 280 in its entirety. The guidance was effective for fiscal years beginning after December 15, 2023, and for interim periods beginning after December 15, 2024. Early adoption was permitted. Entities are required to apply the amendments of this update retrospectively for all prior periods presented in the financial statements. The Company adopted the standard in the quarterly period ended December 31, 2024. The Company applied the standard retrospectively and accordingly, prior periods were adjusted. Adoption of this guidance did not impact consolidated results of operations and financial position.</w:t>
      </w:r>
    </w:p>
    <w:p>
      <w:pPr>
        <w:spacing w:after="0" w:line="145" w:lineRule="exact"/>
        <w:rPr>
          <w:sz w:val="20"/>
          <w:szCs w:val="20"/>
          <w:color w:val="auto"/>
        </w:rPr>
      </w:pPr>
    </w:p>
    <w:p>
      <w:pPr>
        <w:ind w:left="400" w:hanging="396"/>
        <w:spacing w:after="0"/>
        <w:tabs>
          <w:tab w:leader="none" w:pos="4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NOT YET ADOPTED</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Disaggregation Disclosures.” This guidance requires more detailed disclosure about the types of expenses presented within the expense captions of the financial statements. Specifically, disclosure of purchases of inventory, employee compensation, depreciation, and intangible asset amortization are required on both an interim and annual basis. In addition, a qualitative description of remaining amounts in relevant expense captions which have not separately been disaggregated will be required on an interim and annual basis. On an annual basis, disclosure of an entity’s definition of selling expenses and the amount of selling expenses is required. The amendments to this update are effective for annual reporting periods beginning after December 15, 2026, and interim periods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7" w:name="page8"/>
    <w:bookmarkEnd w:id="7"/>
    <w:p>
      <w:pPr>
        <w:ind w:right="200"/>
        <w:spacing w:after="0" w:line="258" w:lineRule="auto"/>
        <w:rPr>
          <w:sz w:val="20"/>
          <w:szCs w:val="20"/>
          <w:color w:val="auto"/>
        </w:rPr>
      </w:pPr>
      <w:r>
        <w:rPr>
          <w:rFonts w:ascii="Times New Roman" w:cs="Times New Roman" w:eastAsia="Times New Roman" w:hAnsi="Times New Roman"/>
          <w:sz w:val="18"/>
          <w:szCs w:val="18"/>
          <w:color w:val="auto"/>
        </w:rPr>
        <w:t>beginning after December 15, 2027. Early adoption of this update is permitted. The amendments to this update should be applied prospectively to financial statements issued for reporting periods after the effective date of the update or retrospectively to any or all prior periods presented in the financial statements. The Company believes adoption will result in expanded financial statement footnote disclosure but does not believe adoption of this update will have a material impact on its consolidated results of operations. The Company is continuing to evaluate the impacts of adoption.</w:t>
      </w:r>
    </w:p>
    <w:p>
      <w:pPr>
        <w:spacing w:after="0" w:line="18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The guidance requires public entities to disclose additional categories of information related to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income taxes and additional details related to reconciling items should they meet a quantitative threshold. The guidance requires disclosure of income taxes paid (net of refunds received) disaggregated by federal, state, and foreign taxes and to disaggregate the information by jurisdiction based on quantitative thresholds. The guidance is effective for fiscal year beginning after December 15, 2024. Early adoption was permitted. The guidance should be applied on a prospective basis, retrospective application is permitted. The Company does not expect adoption of the guidance to have a material effect on its consolidated results of operations and financial position.</w:t>
      </w:r>
    </w:p>
    <w:p>
      <w:pPr>
        <w:spacing w:after="0" w:line="142" w:lineRule="exact"/>
        <w:rPr>
          <w:sz w:val="20"/>
          <w:szCs w:val="20"/>
          <w:color w:val="auto"/>
        </w:rPr>
      </w:pPr>
    </w:p>
    <w:p>
      <w:pPr>
        <w:ind w:left="400" w:hanging="396"/>
        <w:spacing w:after="0"/>
        <w:tabs>
          <w:tab w:leader="none" w:pos="4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0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Inventories valued at LIFO (last-in, first-out), consist of the following (in thousands):</w:t>
      </w:r>
    </w:p>
    <w:p>
      <w:pPr>
        <w:spacing w:after="0" w:line="206"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r>
      <w:tr>
        <w:trPr>
          <w:trHeight w:val="210"/>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color w:val="auto"/>
              </w:rPr>
              <w:t>151,077</w:t>
            </w:r>
          </w:p>
        </w:tc>
        <w:tc>
          <w:tcPr>
            <w:tcW w:w="220" w:type="dxa"/>
            <w:vAlign w:val="bottom"/>
            <w:shd w:val="clear" w:color="auto" w:fill="DBE5F1"/>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8"/>
                <w:szCs w:val="18"/>
                <w:color w:val="auto"/>
              </w:rPr>
              <w:t>183,670</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75,011</w:t>
            </w:r>
          </w:p>
        </w:tc>
        <w:tc>
          <w:tcPr>
            <w:tcW w:w="2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73,281</w:t>
            </w:r>
          </w:p>
        </w:tc>
      </w:tr>
      <w:tr>
        <w:trPr>
          <w:trHeight w:val="20"/>
        </w:trPr>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Total FIFO (first-in, first-out) inventories</w:t>
            </w:r>
          </w:p>
        </w:tc>
        <w:tc>
          <w:tcPr>
            <w:tcW w:w="140" w:type="dxa"/>
            <w:vAlign w:val="bottom"/>
            <w:shd w:val="clear" w:color="auto" w:fill="DBE5F1"/>
          </w:tcPr>
          <w:p>
            <w:pPr>
              <w:spacing w:after="0"/>
              <w:rPr>
                <w:sz w:val="18"/>
                <w:szCs w:val="18"/>
                <w:color w:val="auto"/>
              </w:rPr>
            </w:pPr>
          </w:p>
        </w:tc>
        <w:tc>
          <w:tcPr>
            <w:tcW w:w="10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color w:val="auto"/>
              </w:rPr>
              <w:t>226,088</w:t>
            </w:r>
          </w:p>
        </w:tc>
        <w:tc>
          <w:tcPr>
            <w:tcW w:w="220" w:type="dxa"/>
            <w:vAlign w:val="bottom"/>
            <w:shd w:val="clear" w:color="auto" w:fill="DBE5F1"/>
          </w:tcPr>
          <w:p>
            <w:pPr>
              <w:spacing w:after="0"/>
              <w:rPr>
                <w:sz w:val="18"/>
                <w:szCs w:val="18"/>
                <w:color w:val="auto"/>
              </w:rPr>
            </w:pPr>
          </w:p>
        </w:tc>
        <w:tc>
          <w:tcPr>
            <w:tcW w:w="80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8"/>
                <w:szCs w:val="18"/>
                <w:color w:val="auto"/>
              </w:rPr>
              <w:t>256,951</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Reserve to adjust inventories to LIFO value</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(49,669)</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(49,669)</w:t>
            </w:r>
          </w:p>
        </w:tc>
      </w:tr>
      <w:tr>
        <w:trPr>
          <w:trHeight w:val="20"/>
        </w:trPr>
        <w:tc>
          <w:tcPr>
            <w:tcW w:w="4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Total LIFO inventories</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DBE5F1"/>
          </w:tcPr>
          <w:p>
            <w:pPr>
              <w:jc w:val="right"/>
              <w:ind w:right="180"/>
              <w:spacing w:after="0"/>
              <w:rPr>
                <w:sz w:val="20"/>
                <w:szCs w:val="20"/>
                <w:color w:val="auto"/>
              </w:rPr>
            </w:pPr>
            <w:r>
              <w:rPr>
                <w:rFonts w:ascii="Times New Roman" w:cs="Times New Roman" w:eastAsia="Times New Roman" w:hAnsi="Times New Roman"/>
                <w:sz w:val="18"/>
                <w:szCs w:val="18"/>
                <w:color w:val="auto"/>
              </w:rPr>
              <w:t>176,419</w:t>
            </w:r>
          </w:p>
        </w:tc>
        <w:tc>
          <w:tcPr>
            <w:tcW w:w="220" w:type="dxa"/>
            <w:vAlign w:val="bottom"/>
            <w:shd w:val="clear" w:color="auto" w:fill="DBE5F1"/>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8"/>
                <w:szCs w:val="18"/>
                <w:color w:val="auto"/>
              </w:rPr>
              <w:t>207,282</w:t>
            </w:r>
          </w:p>
        </w:tc>
      </w:tr>
      <w:tr>
        <w:trPr>
          <w:trHeight w:val="20"/>
        </w:trPr>
        <w:tc>
          <w:tcPr>
            <w:tcW w:w="4640" w:type="dxa"/>
            <w:vAlign w:val="bottom"/>
            <w:tcBorders>
              <w:top w:val="single" w:sz="8" w:color="DBE5F1"/>
            </w:tcBorders>
            <w:shd w:val="clear" w:color="auto" w:fill="DBE5F1"/>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DBE5F1"/>
            </w:tcBorders>
            <w:shd w:val="clear" w:color="auto" w:fill="DBE5F1"/>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BE5F1"/>
            </w:tcBorders>
            <w:shd w:val="clear" w:color="auto" w:fill="DBE5F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4485640</wp:posOffset>
            </wp:positionH>
            <wp:positionV relativeFrom="paragraph">
              <wp:posOffset>-25400</wp:posOffset>
            </wp:positionV>
            <wp:extent cx="431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4485640</wp:posOffset>
            </wp:positionH>
            <wp:positionV relativeFrom="paragraph">
              <wp:posOffset>-8255</wp:posOffset>
            </wp:positionV>
            <wp:extent cx="431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-25400</wp:posOffset>
            </wp:positionV>
            <wp:extent cx="431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-8255</wp:posOffset>
            </wp:positionV>
            <wp:extent cx="431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ind w:right="20" w:firstLine="401"/>
        <w:spacing w:after="0" w:line="255" w:lineRule="auto"/>
        <w:rPr>
          <w:sz w:val="20"/>
          <w:szCs w:val="20"/>
          <w:color w:val="auto"/>
        </w:rPr>
      </w:pPr>
      <w:r>
        <w:rPr>
          <w:rFonts w:ascii="Times New Roman" w:cs="Times New Roman" w:eastAsia="Times New Roman" w:hAnsi="Times New Roman"/>
          <w:sz w:val="18"/>
          <w:szCs w:val="18"/>
          <w:color w:val="auto"/>
        </w:rPr>
        <w:t>The Company utilizes the LIFO method of accounting, which generally provides for the matching of current costs with current revenues. However, under the LIFO method, reductions in annual inventory balances may cause a portion of the Company’s cost of sales to be based on historical costs rather than current year costs (LIFO liquidation). Reductions in interim inventory balances expected to be replenished by year-end do not result in a LIFO liquidation. Accordingly, interim LIFO calculations are based, in part, on management’s estimates of expected year-end inventory levels and costs and may differ from actual results. Since inventory levels and costs are subject to factors beyond management’s control, interim results are subject to the final year-end LIFO inventory valuation. There were no LIFO inventory liquidations or related impact on the cost of sales in the three months ended March 31, 2025.</w:t>
      </w:r>
    </w:p>
    <w:p>
      <w:pPr>
        <w:spacing w:after="0" w:line="144" w:lineRule="exact"/>
        <w:rPr>
          <w:sz w:val="20"/>
          <w:szCs w:val="20"/>
          <w:color w:val="auto"/>
        </w:rPr>
      </w:pPr>
    </w:p>
    <w:p>
      <w:pPr>
        <w:ind w:left="400" w:hanging="396"/>
        <w:spacing w:after="0"/>
        <w:tabs>
          <w:tab w:leader="none" w:pos="4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PREPAID EXPENSES AND OTHER ASSETS</w:t>
      </w:r>
    </w:p>
    <w:p>
      <w:pPr>
        <w:spacing w:after="0" w:line="188"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Prepaid expenses and other assets consist of the following (in thousands):</w:t>
      </w:r>
    </w:p>
    <w:p>
      <w:pPr>
        <w:spacing w:after="0" w:line="206"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40" w:type="dxa"/>
            <w:vAlign w:val="bottom"/>
            <w:gridSpan w:val="2"/>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320" w:type="dxa"/>
            <w:vAlign w:val="bottom"/>
            <w:gridSpan w:val="2"/>
            <w:shd w:val="clear" w:color="auto" w:fill="DBE5F1"/>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21,353</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50"/>
        </w:trPr>
        <w:tc>
          <w:tcPr>
            <w:tcW w:w="462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1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19,744</w:t>
            </w:r>
          </w:p>
        </w:tc>
        <w:tc>
          <w:tcPr>
            <w:tcW w:w="1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21,978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4519930</wp:posOffset>
            </wp:positionH>
            <wp:positionV relativeFrom="paragraph">
              <wp:posOffset>-8255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63" w:lineRule="exact"/>
        <w:rPr>
          <w:sz w:val="20"/>
          <w:szCs w:val="20"/>
          <w:color w:val="auto"/>
        </w:rPr>
      </w:pPr>
    </w:p>
    <w:p>
      <w:pPr>
        <w:ind w:left="400" w:hanging="396"/>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89" w:lineRule="exact"/>
        <w:rPr>
          <w:sz w:val="20"/>
          <w:szCs w:val="20"/>
          <w:color w:val="auto"/>
        </w:rPr>
      </w:pPr>
    </w:p>
    <w:p>
      <w:pPr>
        <w:ind w:right="140" w:firstLine="405"/>
        <w:spacing w:after="0" w:line="254" w:lineRule="auto"/>
        <w:rPr>
          <w:sz w:val="20"/>
          <w:szCs w:val="20"/>
          <w:color w:val="auto"/>
        </w:rPr>
      </w:pPr>
      <w:r>
        <w:rPr>
          <w:rFonts w:ascii="Times New Roman" w:cs="Times New Roman" w:eastAsia="Times New Roman" w:hAnsi="Times New Roman"/>
          <w:sz w:val="18"/>
          <w:szCs w:val="18"/>
          <w:color w:val="auto"/>
        </w:rPr>
        <w:t>The carrying amount of goodwill at March 31, 2025, and December 31, 2024, was $14.2 million. The Company’s intangible assets consist of domain names and internal use software. At March 31, 2025, and December 31, 2024, intangible assets were $12.2 million and $10.6 million and accumulated amortization was $2.9 million and $2.8 million, respectively. Intangible asset amounts were determined based on the estimated economics of the asset and are amortized over the estimated useful lives on a straight-line basis over 15 years for domain names and 10 years for internal use software, which approximates the pattern in which the economic benefits are expected to be received. The Company evaluates the recoverability of intangible assets periodically and considers events or circumstances that may warrant revised estimates of useful lives or that may indicate an impairment. Intangible asset amortization expense for the three months ended March 31, 2025, and March 31, 2024, was $0.1 million and $0.1 million, respectively.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201" w:right="1099" w:bottom="1440" w:gutter="0" w:footer="0" w:header="0"/>
        </w:sectPr>
      </w:pPr>
    </w:p>
    <w:bookmarkStart w:id="8" w:name="page9"/>
    <w:bookmarkEnd w:id="8"/>
    <w:p>
      <w:pPr>
        <w:ind w:left="400" w:hanging="396"/>
        <w:spacing w:after="0"/>
        <w:tabs>
          <w:tab w:leader="none" w:pos="4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LIABILITIES</w:t>
      </w:r>
    </w:p>
    <w:p>
      <w:pPr>
        <w:spacing w:after="0" w:line="202" w:lineRule="exact"/>
        <w:rPr>
          <w:rFonts w:ascii="Times New Roman" w:cs="Times New Roman" w:eastAsia="Times New Roman" w:hAnsi="Times New Roman"/>
          <w:sz w:val="18"/>
          <w:szCs w:val="18"/>
          <w:b w:val="1"/>
          <w:bCs w:val="1"/>
          <w:color w:val="auto"/>
        </w:rPr>
      </w:pPr>
    </w:p>
    <w:p>
      <w:pPr>
        <w:ind w:left="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Accrued expenses and other liabilities consist of the following (in thousands):</w:t>
      </w:r>
    </w:p>
    <w:p>
      <w:pPr>
        <w:spacing w:after="0" w:line="206"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02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39,522</w:t>
            </w:r>
          </w:p>
        </w:tc>
        <w:tc>
          <w:tcPr>
            <w:tcW w:w="320" w:type="dxa"/>
            <w:vAlign w:val="bottom"/>
            <w:gridSpan w:val="2"/>
            <w:shd w:val="clear" w:color="auto" w:fill="DBE5F1"/>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22,874</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0" w:type="dxa"/>
            <w:vAlign w:val="bottom"/>
            <w:shd w:val="clear" w:color="auto" w:fill="DBE5F1"/>
          </w:tcPr>
          <w:p>
            <w:pPr>
              <w:spacing w:after="0"/>
              <w:rPr>
                <w:sz w:val="18"/>
                <w:szCs w:val="18"/>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16,132</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16"/>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Capital projects</w:t>
            </w:r>
          </w:p>
        </w:tc>
        <w:tc>
          <w:tcPr>
            <w:tcW w:w="140" w:type="dxa"/>
            <w:vAlign w:val="bottom"/>
            <w:shd w:val="clear" w:color="auto" w:fill="DBE5F1"/>
          </w:tcPr>
          <w:p>
            <w:pPr>
              <w:spacing w:after="0"/>
              <w:rPr>
                <w:sz w:val="18"/>
                <w:szCs w:val="18"/>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8,216</w:t>
            </w:r>
          </w:p>
        </w:tc>
        <w:tc>
          <w:tcPr>
            <w:tcW w:w="1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13,274</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costs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r>
      <w:tr>
        <w:trPr>
          <w:trHeight w:val="216"/>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DBE5F1"/>
          </w:tcPr>
          <w:p>
            <w:pPr>
              <w:spacing w:after="0"/>
              <w:rPr>
                <w:sz w:val="18"/>
                <w:szCs w:val="18"/>
                <w:color w:val="auto"/>
              </w:rPr>
            </w:pP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7,929</w:t>
            </w:r>
          </w:p>
        </w:tc>
        <w:tc>
          <w:tcPr>
            <w:tcW w:w="1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8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5,978</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105,427</w:t>
            </w:r>
          </w:p>
        </w:tc>
        <w:tc>
          <w:tcPr>
            <w:tcW w:w="3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72,879</w:t>
            </w:r>
          </w:p>
        </w:tc>
      </w:tr>
      <w:tr>
        <w:trPr>
          <w:trHeight w:val="20"/>
        </w:trPr>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ind w:left="440" w:hanging="436"/>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u w:val="single" w:color="auto"/>
          <w:color w:val="auto"/>
        </w:rPr>
        <w:t>Indebtedness prior to October 10, 2024.</w:t>
      </w:r>
      <w:r>
        <w:rPr>
          <w:rFonts w:ascii="Times New Roman" w:cs="Times New Roman" w:eastAsia="Times New Roman" w:hAnsi="Times New Roman"/>
          <w:sz w:val="18"/>
          <w:szCs w:val="18"/>
          <w:color w:val="auto"/>
        </w:rPr>
        <w:t xml:space="preserve"> On May 18, 2022, the Company entered into a Credit Agreement (Credit Agreement) with certain lending parties thereto (Lenders) to amend and restate the Fourth Amended and Restated Credit Agreement dated as of November 5, 2019. Under the Credit Agreement, the Lenders agreed to provide the Company with one or more Revolving Loans in a collective maximum principal amount of $400,000,000 (Loan Limit) throughout the term, which ends May 18, 2027 (Term). Included within the Loan Limit are sublimits for a Letter of Credit facility in an amount not to exceed $60,000,000; and Swing Line Loans in an aggregate principal amount at any time outstanding not to exceed $20,000,000. The Revolving Loans, the Letter of Credit facility and the Swing Line Loans are for the purpose of raising working capital and supporting general business operations.</w:t>
      </w:r>
    </w:p>
    <w:p>
      <w:pPr>
        <w:spacing w:after="0" w:line="81"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On December 22, 2022, the Company entered into a First Amendment to the Credit Agreement (First Amendment). As a part of the First Amendment, the Credit Agreement was amended and restated to provide for an additional Revolving B Loan (as hereinafter defined). Under the First Amendment, the Lenders agreed to provide the Company with a Revolving B Loan consisting of one or more revolving loans in a collective maximum principal amount of $150,000,000 (Revolving B Loan Limit) throughout the term, which ended December 22, 2024 (Revolving B Loan Term). Previously, under the Credit Agreement, there was no Revolving B Loan. The First Amendment also provided that TD Bank, N.A. would serve as Syndication Agent.</w:t>
      </w:r>
    </w:p>
    <w:p>
      <w:pPr>
        <w:spacing w:after="0" w:line="79" w:lineRule="exact"/>
        <w:rPr>
          <w:sz w:val="20"/>
          <w:szCs w:val="20"/>
          <w:color w:val="auto"/>
        </w:rPr>
      </w:pPr>
    </w:p>
    <w:p>
      <w:pPr>
        <w:ind w:right="240" w:firstLine="441"/>
        <w:spacing w:after="0" w:line="266" w:lineRule="auto"/>
        <w:rPr>
          <w:sz w:val="20"/>
          <w:szCs w:val="20"/>
          <w:color w:val="auto"/>
        </w:rPr>
      </w:pPr>
      <w:r>
        <w:rPr>
          <w:rFonts w:ascii="Times New Roman" w:cs="Times New Roman" w:eastAsia="Times New Roman" w:hAnsi="Times New Roman"/>
          <w:sz w:val="18"/>
          <w:szCs w:val="18"/>
          <w:color w:val="auto"/>
        </w:rPr>
        <w:t>In conjunction with the First Amendment, on December 22, 2022, the Credit Agreement was amended and restated to refer to the original loan as the Revolving A Loan. The amended and restated Credit Agreement was made an Exhibit A to the First Amendment. All of the terms of the Credit Agreement apply to the Revolving B Loan.</w:t>
      </w:r>
    </w:p>
    <w:p>
      <w:pPr>
        <w:spacing w:after="0" w:line="68"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amended Credit Agreement provides the Company, in the aggregate, the ability to borrow an amount up to the Revolving A Loan Limit during the Revolving A Loan Term (which ends May 18, 2027) and Revolving B Loan Limit during the Revolving B Loan Term. The Company is not obligated to borrow any amount under the revolving loans. Within the respective loan limit, the Company may borrow, repay and reborrow at any time or from time to time while the notes issued pursuant to the Credit Agreement are in effect.</w:t>
      </w:r>
    </w:p>
    <w:p>
      <w:pPr>
        <w:spacing w:after="0" w:line="75"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w:t>
      </w:r>
    </w:p>
    <w:p>
      <w:pPr>
        <w:spacing w:after="0" w:line="81" w:lineRule="exact"/>
        <w:rPr>
          <w:sz w:val="20"/>
          <w:szCs w:val="20"/>
          <w:color w:val="auto"/>
        </w:rPr>
      </w:pPr>
    </w:p>
    <w:p>
      <w:pPr>
        <w:ind w:right="420" w:firstLine="441"/>
        <w:spacing w:after="0" w:line="261" w:lineRule="auto"/>
        <w:rPr>
          <w:sz w:val="20"/>
          <w:szCs w:val="20"/>
          <w:color w:val="auto"/>
        </w:rPr>
      </w:pPr>
      <w:r>
        <w:rPr>
          <w:rFonts w:ascii="Times New Roman" w:cs="Times New Roman" w:eastAsia="Times New Roman" w:hAnsi="Times New Roman"/>
          <w:sz w:val="18"/>
          <w:szCs w:val="18"/>
          <w:color w:val="auto"/>
        </w:rPr>
        <w:t>With respect to Revolving B Loans (as defined in the First Amendment), for any day, the rate per annum is a tiered pricing based upon the Consolidated Debt to Consolidated EBITDA Ratio. The applicable rate for Revolving B Loans that are Base Rate Loans range between 1.20% and 2.15% and the applicable rate for Revolving B Loans that are Term SOFR/Term SOFR Daily Floating Rate range between 0.20% and 1.15%.</w:t>
      </w:r>
    </w:p>
    <w:p>
      <w:pPr>
        <w:spacing w:after="0" w:line="72" w:lineRule="exact"/>
        <w:rPr>
          <w:sz w:val="20"/>
          <w:szCs w:val="20"/>
          <w:color w:val="auto"/>
        </w:rPr>
      </w:pPr>
    </w:p>
    <w:p>
      <w:pPr>
        <w:ind w:right="200" w:firstLine="441"/>
        <w:spacing w:after="0" w:line="261" w:lineRule="auto"/>
        <w:rPr>
          <w:sz w:val="20"/>
          <w:szCs w:val="20"/>
          <w:color w:val="auto"/>
        </w:rPr>
      </w:pPr>
      <w:r>
        <w:rPr>
          <w:rFonts w:ascii="Times New Roman" w:cs="Times New Roman" w:eastAsia="Times New Roman" w:hAnsi="Times New Roman"/>
          <w:sz w:val="18"/>
          <w:szCs w:val="18"/>
          <w:color w:val="auto"/>
        </w:rPr>
        <w:t>Under the terms of the Security and Pledge Agreement, the Company, subject to certain permitted encumbrances, as collateral security for the above-stated loans and all other present and future indebtedness of the Company owing to the Lenders grants a continuing security interest in certain collateral described and defined in the Security and Pledge Agreement but excluding the Excluded Property (as defined in the Security and Pledge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57" w:right="1099" w:bottom="1440" w:gutter="0" w:footer="0" w:header="0"/>
        </w:sectPr>
      </w:pPr>
    </w:p>
    <w:bookmarkStart w:id="9" w:name="page10"/>
    <w:bookmarkEnd w:id="9"/>
    <w:p>
      <w:pPr>
        <w:ind w:left="660" w:right="960" w:firstLine="441"/>
        <w:spacing w:after="0" w:line="266" w:lineRule="auto"/>
        <w:rPr>
          <w:sz w:val="20"/>
          <w:szCs w:val="20"/>
          <w:color w:val="auto"/>
        </w:rPr>
      </w:pPr>
      <w:r>
        <w:rPr>
          <w:rFonts w:ascii="Times New Roman" w:cs="Times New Roman" w:eastAsia="Times New Roman" w:hAnsi="Times New Roman"/>
          <w:sz w:val="18"/>
          <w:szCs w:val="18"/>
          <w:u w:val="single" w:color="auto"/>
          <w:color w:val="auto"/>
        </w:rPr>
        <w:t>Indebtedness on and after October 10, 2024.</w:t>
      </w:r>
      <w:r>
        <w:rPr>
          <w:rFonts w:ascii="Times New Roman" w:cs="Times New Roman" w:eastAsia="Times New Roman" w:hAnsi="Times New Roman"/>
          <w:sz w:val="18"/>
          <w:szCs w:val="18"/>
          <w:color w:val="auto"/>
        </w:rPr>
        <w:t xml:space="preserve"> On October 10, 2024, the Company, entered into a Second Amendment to the Credit Agreement (Second Amendment) with certain lending parties thereto (Lenders) to amend that Credit Agreement dated as of May 18, 2022, as amended by that certain First Amendment dated as of December 22, 2022.</w:t>
      </w:r>
    </w:p>
    <w:p>
      <w:pPr>
        <w:spacing w:after="0" w:line="68" w:lineRule="exact"/>
        <w:rPr>
          <w:sz w:val="20"/>
          <w:szCs w:val="20"/>
          <w:color w:val="auto"/>
        </w:rPr>
      </w:pPr>
    </w:p>
    <w:p>
      <w:pPr>
        <w:ind w:left="660" w:right="940" w:firstLine="441"/>
        <w:spacing w:after="0" w:line="261" w:lineRule="auto"/>
        <w:rPr>
          <w:sz w:val="20"/>
          <w:szCs w:val="20"/>
          <w:color w:val="auto"/>
        </w:rPr>
      </w:pPr>
      <w:r>
        <w:rPr>
          <w:rFonts w:ascii="Times New Roman" w:cs="Times New Roman" w:eastAsia="Times New Roman" w:hAnsi="Times New Roman"/>
          <w:sz w:val="18"/>
          <w:szCs w:val="18"/>
          <w:color w:val="auto"/>
        </w:rPr>
        <w:t>The Second Amendment provides the Company with Revolving A Loans in the maximum principal amount of $400,000,000 (Revolving A Loans), Revolving B Loans in the maximum principal amount of $150,000,000 (Revolving B Loans), and Letters of Credit and Swing Line Loans (as defined in the Credit Agreement). The Second Amendment extends the maturity date of the Revolving B Loans from December 22, 2024 to December 22, 2026.</w:t>
      </w:r>
    </w:p>
    <w:p>
      <w:pPr>
        <w:spacing w:after="0" w:line="72" w:lineRule="exact"/>
        <w:rPr>
          <w:sz w:val="20"/>
          <w:szCs w:val="20"/>
          <w:color w:val="auto"/>
        </w:rPr>
      </w:pPr>
    </w:p>
    <w:p>
      <w:pPr>
        <w:ind w:left="660" w:right="660" w:firstLine="441"/>
        <w:spacing w:after="0" w:line="25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w:t>
      </w:r>
    </w:p>
    <w:p>
      <w:pPr>
        <w:spacing w:after="0" w:line="81" w:lineRule="exact"/>
        <w:rPr>
          <w:sz w:val="20"/>
          <w:szCs w:val="20"/>
          <w:color w:val="auto"/>
        </w:rPr>
      </w:pPr>
    </w:p>
    <w:p>
      <w:pPr>
        <w:ind w:left="660" w:right="1060" w:firstLine="441"/>
        <w:spacing w:after="0" w:line="261" w:lineRule="auto"/>
        <w:rPr>
          <w:sz w:val="20"/>
          <w:szCs w:val="20"/>
          <w:color w:val="auto"/>
        </w:rPr>
      </w:pPr>
      <w:r>
        <w:rPr>
          <w:rFonts w:ascii="Times New Roman" w:cs="Times New Roman" w:eastAsia="Times New Roman" w:hAnsi="Times New Roman"/>
          <w:sz w:val="18"/>
          <w:szCs w:val="18"/>
          <w:color w:val="auto"/>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spacing w:after="0" w:line="180" w:lineRule="exact"/>
        <w:rPr>
          <w:sz w:val="20"/>
          <w:szCs w:val="20"/>
          <w:color w:val="auto"/>
        </w:rPr>
      </w:pPr>
    </w:p>
    <w:p>
      <w:pPr>
        <w:ind w:left="660" w:right="720" w:firstLine="441"/>
        <w:spacing w:after="0" w:line="266" w:lineRule="auto"/>
        <w:rPr>
          <w:sz w:val="20"/>
          <w:szCs w:val="20"/>
          <w:color w:val="auto"/>
        </w:rPr>
      </w:pPr>
      <w:r>
        <w:rPr>
          <w:rFonts w:ascii="Times New Roman" w:cs="Times New Roman" w:eastAsia="Times New Roman" w:hAnsi="Times New Roman"/>
          <w:sz w:val="18"/>
          <w:szCs w:val="18"/>
          <w:color w:val="auto"/>
        </w:rPr>
        <w:t>The Company had $443.9 million in borrowings outstanding under its revolving credit facility and available borrowing capacity of $106.1 million at March 31, 2025. The weighted average interest rate on the revolving credit facility was 5.27% as of March 31, 2025.</w:t>
      </w:r>
    </w:p>
    <w:p>
      <w:pPr>
        <w:spacing w:after="0" w:line="2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Compliance with Debt Covenants and Restrictions</w:t>
      </w:r>
    </w:p>
    <w:p>
      <w:pPr>
        <w:spacing w:after="0" w:line="119" w:lineRule="exact"/>
        <w:rPr>
          <w:sz w:val="20"/>
          <w:szCs w:val="20"/>
          <w:color w:val="auto"/>
        </w:rPr>
      </w:pPr>
    </w:p>
    <w:p>
      <w:pPr>
        <w:ind w:left="660" w:right="680" w:firstLine="441"/>
        <w:spacing w:after="0" w:line="266" w:lineRule="auto"/>
        <w:rPr>
          <w:sz w:val="20"/>
          <w:szCs w:val="20"/>
          <w:color w:val="auto"/>
        </w:rPr>
      </w:pPr>
      <w:r>
        <w:rPr>
          <w:rFonts w:ascii="Times New Roman" w:cs="Times New Roman" w:eastAsia="Times New Roman" w:hAnsi="Times New Roman"/>
          <w:sz w:val="18"/>
          <w:szCs w:val="18"/>
          <w:color w:val="auto"/>
        </w:rPr>
        <w:t>Pursuant to the terms of the Credit Agreement, the Company is subject to certain loan compliance covenants. The Company was in compliance with all covenants as of March 31, 2025. Failure to comply with the financial covenants could be considered a default of repayment obligations and, among other remedies, could accelerate payment of any amounts outstanding.</w:t>
      </w:r>
    </w:p>
    <w:p>
      <w:pPr>
        <w:spacing w:after="0" w:line="13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10.</w:t>
        <w:tab/>
        <w:t>LEASES</w:t>
      </w:r>
    </w:p>
    <w:p>
      <w:pPr>
        <w:spacing w:after="0" w:line="202" w:lineRule="exact"/>
        <w:rPr>
          <w:sz w:val="20"/>
          <w:szCs w:val="20"/>
          <w:color w:val="auto"/>
        </w:rPr>
      </w:pPr>
    </w:p>
    <w:p>
      <w:pPr>
        <w:ind w:left="660" w:right="720" w:firstLine="401"/>
        <w:spacing w:after="0" w:line="266" w:lineRule="auto"/>
        <w:rPr>
          <w:sz w:val="20"/>
          <w:szCs w:val="20"/>
          <w:color w:val="auto"/>
        </w:rPr>
      </w:pPr>
      <w:r>
        <w:rPr>
          <w:rFonts w:ascii="Times New Roman" w:cs="Times New Roman" w:eastAsia="Times New Roman" w:hAnsi="Times New Roman"/>
          <w:sz w:val="18"/>
          <w:szCs w:val="18"/>
          <w:color w:val="auto"/>
        </w:rPr>
        <w:t>The Company leases manufacturing and training facilities, storage warehouses, office space, and certain office and plant equipment under various operating leases. The Company’s operating leases have remaining lease terms of up to 10 years. Lease terms may include options to extend or terminate the lease when it is reasonably certain that the Company will exercise that option.</w:t>
      </w:r>
    </w:p>
    <w:p>
      <w:pPr>
        <w:spacing w:after="0" w:line="135" w:lineRule="exact"/>
        <w:rPr>
          <w:sz w:val="20"/>
          <w:szCs w:val="20"/>
          <w:color w:val="auto"/>
        </w:rPr>
      </w:pPr>
    </w:p>
    <w:p>
      <w:pPr>
        <w:ind w:left="660" w:right="940" w:firstLine="401"/>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total operating lease expense was $3.0 million and $2.0 million, respectively. The weighted average remaining lease term at March 31, 2025 and December 31, 2024 was 6.1 years and 6.3 years, respectively. The weighted average discount rate at March 31, 2025 and December 31, 2024 was 4.60% and 4.57%, respectively.</w:t>
      </w:r>
    </w:p>
    <w:p>
      <w:pPr>
        <w:spacing w:after="0" w:line="139" w:lineRule="exact"/>
        <w:rPr>
          <w:sz w:val="20"/>
          <w:szCs w:val="20"/>
          <w:color w:val="auto"/>
        </w:rPr>
      </w:pPr>
    </w:p>
    <w:p>
      <w:pPr>
        <w:ind w:left="660" w:right="1020" w:firstLine="401"/>
        <w:spacing w:after="0" w:line="266" w:lineRule="auto"/>
        <w:rPr>
          <w:sz w:val="20"/>
          <w:szCs w:val="20"/>
          <w:color w:val="auto"/>
        </w:rPr>
      </w:pPr>
      <w:r>
        <w:rPr>
          <w:rFonts w:ascii="Times New Roman" w:cs="Times New Roman" w:eastAsia="Times New Roman" w:hAnsi="Times New Roman"/>
          <w:sz w:val="18"/>
          <w:szCs w:val="18"/>
          <w:color w:val="auto"/>
        </w:rPr>
        <w:t>The following table includes supplemental cash flow information for the three months ended March 31, 2025 and March 31, 2024, and supplemental balance sheet information at March 31, 2025 and December 31, 2024 related to operating leases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1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100" w:type="dxa"/>
            <w:vAlign w:val="bottom"/>
            <w:vMerge w:val="restart"/>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454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4640" w:type="dxa"/>
            <w:vAlign w:val="bottom"/>
            <w:gridSpan w:val="2"/>
            <w:shd w:val="clear" w:color="auto" w:fill="DBE5F1"/>
          </w:tcPr>
          <w:p>
            <w:pPr>
              <w:spacing w:after="0" w:line="191" w:lineRule="exact"/>
              <w:rPr>
                <w:sz w:val="20"/>
                <w:szCs w:val="20"/>
                <w:color w:val="auto"/>
              </w:rPr>
            </w:pPr>
            <w:r>
              <w:rPr>
                <w:rFonts w:ascii="Times New Roman" w:cs="Times New Roman" w:eastAsia="Times New Roman" w:hAnsi="Times New Roman"/>
                <w:sz w:val="18"/>
                <w:szCs w:val="18"/>
                <w:color w:val="auto"/>
              </w:rPr>
              <w:t>Cash paid for amounts included in the measurement of</w:t>
            </w:r>
          </w:p>
        </w:tc>
        <w:tc>
          <w:tcPr>
            <w:tcW w:w="140" w:type="dxa"/>
            <w:vAlign w:val="bottom"/>
            <w:shd w:val="clear" w:color="auto" w:fill="DBE5F1"/>
          </w:tcPr>
          <w:p>
            <w:pPr>
              <w:spacing w:after="0"/>
              <w:rPr>
                <w:sz w:val="16"/>
                <w:szCs w:val="16"/>
                <w:color w:val="auto"/>
              </w:rPr>
            </w:pPr>
          </w:p>
        </w:tc>
        <w:tc>
          <w:tcPr>
            <w:tcW w:w="900" w:type="dxa"/>
            <w:vAlign w:val="bottom"/>
            <w:shd w:val="clear" w:color="auto" w:fill="DBE5F1"/>
          </w:tcPr>
          <w:p>
            <w:pPr>
              <w:spacing w:after="0"/>
              <w:rPr>
                <w:sz w:val="16"/>
                <w:szCs w:val="16"/>
                <w:color w:val="auto"/>
              </w:rPr>
            </w:pPr>
          </w:p>
        </w:tc>
        <w:tc>
          <w:tcPr>
            <w:tcW w:w="100" w:type="dxa"/>
            <w:vAlign w:val="bottom"/>
            <w:shd w:val="clear" w:color="auto" w:fill="DBE5F1"/>
          </w:tcPr>
          <w:p>
            <w:pPr>
              <w:spacing w:after="0"/>
              <w:rPr>
                <w:sz w:val="16"/>
                <w:szCs w:val="16"/>
                <w:color w:val="auto"/>
              </w:rPr>
            </w:pPr>
          </w:p>
        </w:tc>
        <w:tc>
          <w:tcPr>
            <w:tcW w:w="280" w:type="dxa"/>
            <w:vAlign w:val="bottom"/>
            <w:shd w:val="clear" w:color="auto" w:fill="DBE5F1"/>
          </w:tcPr>
          <w:p>
            <w:pPr>
              <w:spacing w:after="0"/>
              <w:rPr>
                <w:sz w:val="16"/>
                <w:szCs w:val="16"/>
                <w:color w:val="auto"/>
              </w:rPr>
            </w:pPr>
          </w:p>
        </w:tc>
        <w:tc>
          <w:tcPr>
            <w:tcW w:w="740" w:type="dxa"/>
            <w:vAlign w:val="bottom"/>
            <w:shd w:val="clear" w:color="auto" w:fill="DBE5F1"/>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4640" w:type="dxa"/>
            <w:vAlign w:val="bottom"/>
            <w:gridSpan w:val="2"/>
            <w:shd w:val="clear" w:color="auto" w:fill="DBE5F1"/>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380" w:type="dxa"/>
            <w:vAlign w:val="bottom"/>
            <w:gridSpan w:val="2"/>
            <w:shd w:val="clear" w:color="auto" w:fill="DBE5F1"/>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20" w:type="dxa"/>
            <w:vAlign w:val="bottom"/>
          </w:tcPr>
          <w:p>
            <w:pPr>
              <w:spacing w:after="0"/>
              <w:rPr>
                <w:sz w:val="17"/>
                <w:szCs w:val="17"/>
                <w:color w:val="auto"/>
              </w:rPr>
            </w:pPr>
          </w:p>
        </w:tc>
        <w:tc>
          <w:tcPr>
            <w:tcW w:w="4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Operating ROU assets obtained in exchange for lease</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4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38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1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31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balance sheet information</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20" w:type="dxa"/>
            <w:vAlign w:val="bottom"/>
          </w:tcPr>
          <w:p>
            <w:pPr>
              <w:spacing w:after="0"/>
              <w:rPr>
                <w:sz w:val="18"/>
                <w:szCs w:val="18"/>
                <w:color w:val="auto"/>
              </w:rPr>
            </w:pPr>
          </w:p>
        </w:tc>
        <w:tc>
          <w:tcPr>
            <w:tcW w:w="4640" w:type="dxa"/>
            <w:vAlign w:val="bottom"/>
            <w:gridSpan w:val="2"/>
            <w:shd w:val="clear" w:color="auto" w:fill="DBE5F1"/>
          </w:tcPr>
          <w:p>
            <w:pPr>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49,976</w:t>
            </w:r>
          </w:p>
        </w:tc>
        <w:tc>
          <w:tcPr>
            <w:tcW w:w="380" w:type="dxa"/>
            <w:vAlign w:val="bottom"/>
            <w:gridSpan w:val="2"/>
            <w:shd w:val="clear" w:color="auto" w:fill="DBE5F1"/>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52,195</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640" w:type="dxa"/>
            <w:vAlign w:val="bottom"/>
            <w:gridSpan w:val="2"/>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380" w:type="dxa"/>
            <w:vAlign w:val="bottom"/>
            <w:gridSpan w:val="2"/>
            <w:shd w:val="clear" w:color="auto" w:fill="DBE5F1"/>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39,788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41,979</w:t>
            </w: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120" w:type="dxa"/>
            <w:vAlign w:val="bottom"/>
          </w:tcPr>
          <w:p>
            <w:pPr>
              <w:spacing w:after="0"/>
              <w:rPr>
                <w:sz w:val="21"/>
                <w:szCs w:val="21"/>
                <w:color w:val="auto"/>
              </w:rPr>
            </w:pPr>
          </w:p>
        </w:tc>
        <w:tc>
          <w:tcPr>
            <w:tcW w:w="4640" w:type="dxa"/>
            <w:vAlign w:val="bottom"/>
            <w:tcBorders>
              <w:bottom w:val="single" w:sz="8" w:color="DBE5F1"/>
            </w:tcBorders>
            <w:gridSpan w:val="2"/>
            <w:shd w:val="clear" w:color="auto" w:fill="DBE5F1"/>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50,881</w:t>
            </w:r>
          </w:p>
        </w:tc>
        <w:tc>
          <w:tcPr>
            <w:tcW w:w="100" w:type="dxa"/>
            <w:vAlign w:val="bottom"/>
            <w:tcBorders>
              <w:bottom w:val="single" w:sz="8" w:color="DBE5F1"/>
            </w:tcBorders>
            <w:shd w:val="clear" w:color="auto" w:fill="DBE5F1"/>
          </w:tcPr>
          <w:p>
            <w:pPr>
              <w:spacing w:after="0"/>
              <w:rPr>
                <w:sz w:val="21"/>
                <w:szCs w:val="21"/>
                <w:color w:val="auto"/>
              </w:rPr>
            </w:pPr>
          </w:p>
        </w:tc>
        <w:tc>
          <w:tcPr>
            <w:tcW w:w="280" w:type="dxa"/>
            <w:vAlign w:val="bottom"/>
            <w:tcBorders>
              <w:bottom w:val="single" w:sz="8" w:color="auto"/>
            </w:tcBorders>
            <w:shd w:val="clear" w:color="auto" w:fill="DBE5F1"/>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52,779</w:t>
            </w:r>
          </w:p>
        </w:tc>
        <w:tc>
          <w:tcPr>
            <w:tcW w:w="2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6660" w:type="dxa"/>
            <w:vAlign w:val="bottom"/>
            <w:gridSpan w:val="2"/>
          </w:tcPr>
          <w:p>
            <w:pPr>
              <w:jc w:val="right"/>
              <w:ind w:right="10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2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-933450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4947920</wp:posOffset>
            </wp:positionH>
            <wp:positionV relativeFrom="paragraph">
              <wp:posOffset>-916305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40"/>
          </w:cols>
          <w:pgMar w:left="420" w:top="1093" w:right="439" w:bottom="1054"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color w:val="auto"/>
        </w:rPr>
        <w:t>The following table summarizes maturities of operating lease liabilities at March 31, 2025 (in thousands):</w:t>
      </w:r>
    </w:p>
    <w:p>
      <w:pPr>
        <w:spacing w:after="0" w:line="219" w:lineRule="exact"/>
        <w:rPr>
          <w:sz w:val="20"/>
          <w:szCs w:val="20"/>
          <w:color w:val="auto"/>
        </w:rPr>
      </w:pPr>
    </w:p>
    <w:tbl>
      <w:tblPr>
        <w:tblLayout w:type="fixed"/>
        <w:tblInd w:w="1940" w:type="dxa"/>
        <w:tblCellMar>
          <w:top w:w="0" w:type="dxa"/>
          <w:left w:w="0" w:type="dxa"/>
          <w:bottom w:w="0" w:type="dxa"/>
          <w:right w:w="0" w:type="dxa"/>
        </w:tblCellMar>
      </w:tblPr>
      <w:tr>
        <w:trPr>
          <w:trHeight w:val="173"/>
        </w:trPr>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Maturities of operating lease liabilities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09"/>
        </w:trPr>
        <w:tc>
          <w:tcPr>
            <w:tcW w:w="466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gridSpan w:val="2"/>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8,518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11,237</w:t>
            </w:r>
          </w:p>
        </w:tc>
      </w:tr>
      <w:tr>
        <w:trPr>
          <w:trHeight w:val="216"/>
        </w:trPr>
        <w:tc>
          <w:tcPr>
            <w:tcW w:w="466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7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10,641</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r>
      <w:tr>
        <w:trPr>
          <w:trHeight w:val="216"/>
        </w:trPr>
        <w:tc>
          <w:tcPr>
            <w:tcW w:w="466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7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4,385</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15,555</w:t>
            </w:r>
          </w:p>
        </w:tc>
      </w:tr>
      <w:tr>
        <w:trPr>
          <w:trHeight w:val="209"/>
        </w:trPr>
        <w:tc>
          <w:tcPr>
            <w:tcW w:w="466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00" w:type="dxa"/>
            <w:vAlign w:val="bottom"/>
            <w:shd w:val="clear" w:color="auto" w:fill="DBE5F1"/>
          </w:tcPr>
          <w:p>
            <w:pPr>
              <w:spacing w:after="0"/>
              <w:rPr>
                <w:sz w:val="18"/>
                <w:szCs w:val="18"/>
                <w:color w:val="auto"/>
              </w:rPr>
            </w:pPr>
          </w:p>
        </w:tc>
        <w:tc>
          <w:tcPr>
            <w:tcW w:w="300" w:type="dxa"/>
            <w:vAlign w:val="bottom"/>
            <w:shd w:val="clear" w:color="auto" w:fill="DBE5F1"/>
          </w:tcPr>
          <w:p>
            <w:pPr>
              <w:spacing w:after="0"/>
              <w:rPr>
                <w:sz w:val="18"/>
                <w:szCs w:val="18"/>
                <w:color w:val="auto"/>
              </w:rPr>
            </w:pPr>
          </w:p>
        </w:tc>
        <w:tc>
          <w:tcPr>
            <w:tcW w:w="7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59,986</w:t>
            </w:r>
          </w:p>
        </w:tc>
      </w:tr>
      <w:tr>
        <w:trPr>
          <w:trHeight w:val="216"/>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(9,105)</w:t>
            </w:r>
          </w:p>
        </w:tc>
      </w:tr>
      <w:tr>
        <w:trPr>
          <w:trHeight w:val="249"/>
        </w:trPr>
        <w:tc>
          <w:tcPr>
            <w:tcW w:w="4660" w:type="dxa"/>
            <w:vAlign w:val="bottom"/>
            <w:tcBorders>
              <w:bottom w:val="single" w:sz="8" w:color="DBE5F1"/>
            </w:tcBorders>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bottom w:val="single" w:sz="8" w:color="DBE5F1"/>
            </w:tcBorders>
            <w:shd w:val="clear" w:color="auto" w:fill="DBE5F1"/>
          </w:tcPr>
          <w:p>
            <w:pPr>
              <w:spacing w:after="0"/>
              <w:rPr>
                <w:sz w:val="21"/>
                <w:szCs w:val="21"/>
                <w:color w:val="auto"/>
              </w:rPr>
            </w:pPr>
          </w:p>
        </w:tc>
        <w:tc>
          <w:tcPr>
            <w:tcW w:w="300" w:type="dxa"/>
            <w:vAlign w:val="bottom"/>
            <w:tcBorders>
              <w:bottom w:val="single" w:sz="8" w:color="auto"/>
            </w:tcBorders>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50,881</w:t>
            </w:r>
          </w:p>
        </w:tc>
      </w:tr>
    </w:tbl>
    <w:p>
      <w:pPr>
        <w:spacing w:after="0" w:line="36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FINANCIAL INSTRUMENTS</w:t>
      </w:r>
    </w:p>
    <w:p>
      <w:pPr>
        <w:spacing w:after="0" w:line="202" w:lineRule="exact"/>
        <w:rPr>
          <w:sz w:val="20"/>
          <w:szCs w:val="20"/>
          <w:color w:val="auto"/>
        </w:rPr>
      </w:pPr>
    </w:p>
    <w:p>
      <w:pPr>
        <w:ind w:right="100" w:firstLine="401"/>
        <w:spacing w:after="0" w:line="266" w:lineRule="auto"/>
        <w:rPr>
          <w:sz w:val="20"/>
          <w:szCs w:val="20"/>
          <w:color w:val="auto"/>
        </w:rPr>
      </w:pPr>
      <w:r>
        <w:rPr>
          <w:rFonts w:ascii="Times New Roman" w:cs="Times New Roman" w:eastAsia="Times New Roman" w:hAnsi="Times New Roman"/>
          <w:sz w:val="18"/>
          <w:szCs w:val="18"/>
          <w:color w:val="auto"/>
        </w:rPr>
        <w:t>The Company considers the recorded value of its financial assets and liabilities, consisting primarily of cash and cash equivalents, accounts receivable, accounts payable, accrued expenses, other current liabilities, and debt to approximate the fair value of the respective assets and liabilities on the Condensed Consolidated Balance Sheets at March 31, 2025 and December 31, 2024.</w:t>
      </w:r>
    </w:p>
    <w:p>
      <w:pPr>
        <w:spacing w:after="0" w:line="13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12.</w:t>
        <w:tab/>
        <w:t>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200" w:lineRule="exact"/>
        <w:rPr>
          <w:sz w:val="20"/>
          <w:szCs w:val="20"/>
          <w:color w:val="auto"/>
        </w:rPr>
      </w:pPr>
    </w:p>
    <w:p>
      <w:pPr>
        <w:ind w:right="100" w:firstLine="40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share and per share data):</w:t>
      </w:r>
    </w:p>
    <w:p>
      <w:pPr>
        <w:spacing w:after="0" w:line="155" w:lineRule="exact"/>
        <w:rPr>
          <w:sz w:val="20"/>
          <w:szCs w:val="20"/>
          <w:color w:val="auto"/>
        </w:rPr>
      </w:pPr>
    </w:p>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36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20" w:type="dxa"/>
        <w:tblCellMar>
          <w:top w:w="0" w:type="dxa"/>
          <w:left w:w="0" w:type="dxa"/>
          <w:bottom w:w="0" w:type="dxa"/>
          <w:right w:w="0" w:type="dxa"/>
        </w:tblCellMar>
      </w:tblPr>
      <w:tr>
        <w:trPr>
          <w:trHeight w:val="142"/>
        </w:trPr>
        <w:tc>
          <w:tcPr>
            <w:tcW w:w="37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7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Numerator:</w:t>
            </w:r>
          </w:p>
        </w:tc>
        <w:tc>
          <w:tcPr>
            <w:tcW w:w="380" w:type="dxa"/>
            <w:vAlign w:val="bottom"/>
            <w:shd w:val="clear" w:color="auto" w:fill="DBE5F1"/>
          </w:tcPr>
          <w:p>
            <w:pPr>
              <w:spacing w:after="0"/>
              <w:rPr>
                <w:sz w:val="18"/>
                <w:szCs w:val="18"/>
                <w:color w:val="auto"/>
              </w:rPr>
            </w:pPr>
          </w:p>
        </w:tc>
        <w:tc>
          <w:tcPr>
            <w:tcW w:w="132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1320" w:type="dxa"/>
            <w:vAlign w:val="bottom"/>
            <w:shd w:val="clear" w:color="auto" w:fill="DBE5F1"/>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60,434</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89,070</w:t>
            </w:r>
          </w:p>
        </w:tc>
      </w:tr>
      <w:tr>
        <w:trPr>
          <w:trHeight w:val="20"/>
        </w:trPr>
        <w:tc>
          <w:tcPr>
            <w:tcW w:w="3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3740" w:type="dxa"/>
            <w:vAlign w:val="bottom"/>
            <w:shd w:val="clear" w:color="auto" w:fill="DBE5F1"/>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80" w:type="dxa"/>
            <w:vAlign w:val="bottom"/>
            <w:shd w:val="clear" w:color="auto" w:fill="DBE5F1"/>
          </w:tcPr>
          <w:p>
            <w:pPr>
              <w:spacing w:after="0"/>
              <w:rPr>
                <w:sz w:val="17"/>
                <w:szCs w:val="17"/>
                <w:color w:val="auto"/>
              </w:rPr>
            </w:pPr>
          </w:p>
        </w:tc>
        <w:tc>
          <w:tcPr>
            <w:tcW w:w="1320" w:type="dxa"/>
            <w:vAlign w:val="bottom"/>
            <w:shd w:val="clear" w:color="auto" w:fill="DBE5F1"/>
          </w:tcPr>
          <w:p>
            <w:pPr>
              <w:spacing w:after="0"/>
              <w:rPr>
                <w:sz w:val="17"/>
                <w:szCs w:val="17"/>
                <w:color w:val="auto"/>
              </w:rPr>
            </w:pPr>
          </w:p>
        </w:tc>
        <w:tc>
          <w:tcPr>
            <w:tcW w:w="140" w:type="dxa"/>
            <w:vAlign w:val="bottom"/>
            <w:shd w:val="clear" w:color="auto" w:fill="DBE5F1"/>
          </w:tcPr>
          <w:p>
            <w:pPr>
              <w:spacing w:after="0"/>
              <w:rPr>
                <w:sz w:val="17"/>
                <w:szCs w:val="17"/>
                <w:color w:val="auto"/>
              </w:rPr>
            </w:pPr>
          </w:p>
        </w:tc>
        <w:tc>
          <w:tcPr>
            <w:tcW w:w="380" w:type="dxa"/>
            <w:vAlign w:val="bottom"/>
            <w:shd w:val="clear" w:color="auto" w:fill="DBE5F1"/>
          </w:tcPr>
          <w:p>
            <w:pPr>
              <w:spacing w:after="0"/>
              <w:rPr>
                <w:sz w:val="17"/>
                <w:szCs w:val="17"/>
                <w:color w:val="auto"/>
              </w:rPr>
            </w:pPr>
          </w:p>
        </w:tc>
        <w:tc>
          <w:tcPr>
            <w:tcW w:w="1320" w:type="dxa"/>
            <w:vAlign w:val="bottom"/>
            <w:shd w:val="clear" w:color="auto" w:fill="DBE5F1"/>
          </w:tcPr>
          <w:p>
            <w:pPr>
              <w:spacing w:after="0"/>
              <w:rPr>
                <w:sz w:val="17"/>
                <w:szCs w:val="17"/>
                <w:color w:val="auto"/>
              </w:rPr>
            </w:pPr>
          </w:p>
        </w:tc>
      </w:tr>
      <w:tr>
        <w:trPr>
          <w:trHeight w:val="216"/>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107,180,665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108,640,168</w:t>
            </w:r>
          </w:p>
        </w:tc>
      </w:tr>
      <w:tr>
        <w:trPr>
          <w:trHeight w:val="216"/>
        </w:trPr>
        <w:tc>
          <w:tcPr>
            <w:tcW w:w="3740" w:type="dxa"/>
            <w:vAlign w:val="bottom"/>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80" w:type="dxa"/>
            <w:vAlign w:val="bottom"/>
            <w:shd w:val="clear" w:color="auto" w:fill="DBE5F1"/>
          </w:tcPr>
          <w:p>
            <w:pPr>
              <w:spacing w:after="0"/>
              <w:rPr>
                <w:sz w:val="18"/>
                <w:szCs w:val="18"/>
                <w:color w:val="auto"/>
              </w:rPr>
            </w:pPr>
          </w:p>
        </w:tc>
        <w:tc>
          <w:tcPr>
            <w:tcW w:w="1320" w:type="dxa"/>
            <w:vAlign w:val="bottom"/>
            <w:shd w:val="clear" w:color="auto" w:fill="DBE5F1"/>
          </w:tcPr>
          <w:p>
            <w:pPr>
              <w:spacing w:after="0"/>
              <w:rPr>
                <w:sz w:val="18"/>
                <w:szCs w:val="18"/>
                <w:color w:val="auto"/>
              </w:rPr>
            </w:pPr>
          </w:p>
        </w:tc>
        <w:tc>
          <w:tcPr>
            <w:tcW w:w="140" w:type="dxa"/>
            <w:vAlign w:val="bottom"/>
            <w:shd w:val="clear" w:color="auto" w:fill="DBE5F1"/>
          </w:tcPr>
          <w:p>
            <w:pPr>
              <w:spacing w:after="0"/>
              <w:rPr>
                <w:sz w:val="18"/>
                <w:szCs w:val="18"/>
                <w:color w:val="auto"/>
              </w:rPr>
            </w:pPr>
          </w:p>
        </w:tc>
        <w:tc>
          <w:tcPr>
            <w:tcW w:w="380" w:type="dxa"/>
            <w:vAlign w:val="bottom"/>
            <w:shd w:val="clear" w:color="auto" w:fill="DBE5F1"/>
          </w:tcPr>
          <w:p>
            <w:pPr>
              <w:spacing w:after="0"/>
              <w:rPr>
                <w:sz w:val="18"/>
                <w:szCs w:val="18"/>
                <w:color w:val="auto"/>
              </w:rPr>
            </w:pPr>
          </w:p>
        </w:tc>
        <w:tc>
          <w:tcPr>
            <w:tcW w:w="1320" w:type="dxa"/>
            <w:vAlign w:val="bottom"/>
            <w:shd w:val="clear" w:color="auto" w:fill="DBE5F1"/>
          </w:tcPr>
          <w:p>
            <w:pPr>
              <w:spacing w:after="0"/>
              <w:rPr>
                <w:sz w:val="18"/>
                <w:szCs w:val="18"/>
                <w:color w:val="auto"/>
              </w:rPr>
            </w:pPr>
          </w:p>
        </w:tc>
      </w:tr>
      <w:tr>
        <w:trPr>
          <w:trHeight w:val="216"/>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appreciation rights and options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71,202</w:t>
            </w:r>
          </w:p>
        </w:tc>
      </w:tr>
      <w:tr>
        <w:trPr>
          <w:trHeight w:val="216"/>
        </w:trPr>
        <w:tc>
          <w:tcPr>
            <w:tcW w:w="3740" w:type="dxa"/>
            <w:vAlign w:val="bottom"/>
            <w:tcBorders>
              <w:bottom w:val="single" w:sz="8" w:color="DBE5F1"/>
            </w:tcBorders>
            <w:shd w:val="clear" w:color="auto" w:fill="DBE5F1"/>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380" w:type="dxa"/>
            <w:vAlign w:val="bottom"/>
            <w:tcBorders>
              <w:bottom w:val="single" w:sz="8" w:color="auto"/>
            </w:tcBorders>
            <w:shd w:val="clear" w:color="auto" w:fill="DBE5F1"/>
          </w:tcPr>
          <w:p>
            <w:pPr>
              <w:spacing w:after="0"/>
              <w:rPr>
                <w:sz w:val="18"/>
                <w:szCs w:val="18"/>
                <w:color w:val="auto"/>
              </w:rPr>
            </w:pPr>
          </w:p>
        </w:tc>
        <w:tc>
          <w:tcPr>
            <w:tcW w:w="1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68,876</w:t>
            </w:r>
          </w:p>
        </w:tc>
        <w:tc>
          <w:tcPr>
            <w:tcW w:w="140" w:type="dxa"/>
            <w:vAlign w:val="bottom"/>
            <w:tcBorders>
              <w:bottom w:val="single" w:sz="8" w:color="DBE5F1"/>
            </w:tcBorders>
            <w:shd w:val="clear" w:color="auto" w:fill="DBE5F1"/>
          </w:tcPr>
          <w:p>
            <w:pPr>
              <w:spacing w:after="0"/>
              <w:rPr>
                <w:sz w:val="18"/>
                <w:szCs w:val="18"/>
                <w:color w:val="auto"/>
              </w:rPr>
            </w:pPr>
          </w:p>
        </w:tc>
        <w:tc>
          <w:tcPr>
            <w:tcW w:w="380" w:type="dxa"/>
            <w:vAlign w:val="bottom"/>
            <w:tcBorders>
              <w:bottom w:val="single" w:sz="8" w:color="auto"/>
            </w:tcBorders>
            <w:shd w:val="clear" w:color="auto" w:fill="DBE5F1"/>
          </w:tcPr>
          <w:p>
            <w:pPr>
              <w:spacing w:after="0"/>
              <w:rPr>
                <w:sz w:val="18"/>
                <w:szCs w:val="18"/>
                <w:color w:val="auto"/>
              </w:rPr>
            </w:pPr>
          </w:p>
        </w:tc>
        <w:tc>
          <w:tcPr>
            <w:tcW w:w="13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79,255</w:t>
            </w:r>
          </w:p>
        </w:tc>
      </w:tr>
      <w:tr>
        <w:trPr>
          <w:trHeight w:val="21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107,284,084</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108,790,625</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6"/>
        </w:trPr>
        <w:tc>
          <w:tcPr>
            <w:tcW w:w="3740" w:type="dxa"/>
            <w:vAlign w:val="bottom"/>
            <w:tcBorders>
              <w:bottom w:val="single" w:sz="8" w:color="DBE5F1"/>
            </w:tcBorders>
            <w:shd w:val="clear" w:color="auto" w:fill="DBE5F1"/>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share</w:t>
            </w:r>
          </w:p>
        </w:tc>
        <w:tc>
          <w:tcPr>
            <w:tcW w:w="380" w:type="dxa"/>
            <w:vAlign w:val="bottom"/>
            <w:tcBorders>
              <w:bottom w:val="single" w:sz="8" w:color="auto"/>
            </w:tcBorders>
            <w:shd w:val="clear" w:color="auto" w:fill="DBE5F1"/>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DBE5F1"/>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140" w:type="dxa"/>
            <w:vAlign w:val="bottom"/>
            <w:tcBorders>
              <w:bottom w:val="single" w:sz="8" w:color="DBE5F1"/>
            </w:tcBorders>
            <w:shd w:val="clear" w:color="auto" w:fill="DBE5F1"/>
          </w:tcPr>
          <w:p>
            <w:pPr>
              <w:spacing w:after="0"/>
              <w:rPr>
                <w:sz w:val="20"/>
                <w:szCs w:val="20"/>
                <w:color w:val="auto"/>
              </w:rPr>
            </w:pPr>
          </w:p>
        </w:tc>
        <w:tc>
          <w:tcPr>
            <w:tcW w:w="380" w:type="dxa"/>
            <w:vAlign w:val="bottom"/>
            <w:tcBorders>
              <w:bottom w:val="single" w:sz="8" w:color="auto"/>
            </w:tcBorders>
            <w:shd w:val="clear" w:color="auto" w:fill="DBE5F1"/>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DBE5F1"/>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r>
      <w:tr>
        <w:trPr>
          <w:trHeight w:val="197"/>
        </w:trPr>
        <w:tc>
          <w:tcPr>
            <w:tcW w:w="3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0.56</w:t>
            </w:r>
          </w:p>
        </w:tc>
        <w:tc>
          <w:tcPr>
            <w:tcW w:w="520" w:type="dxa"/>
            <w:vAlign w:val="bottom"/>
            <w:gridSpan w:val="2"/>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0.82</w:t>
            </w:r>
          </w:p>
        </w:tc>
      </w:tr>
      <w:tr>
        <w:trPr>
          <w:trHeight w:val="20"/>
        </w:trPr>
        <w:tc>
          <w:tcPr>
            <w:tcW w:w="3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-496570</wp:posOffset>
            </wp:positionV>
            <wp:extent cx="946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-187960</wp:posOffset>
            </wp:positionV>
            <wp:extent cx="946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-170815</wp:posOffset>
            </wp:positionV>
            <wp:extent cx="946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78" w:lineRule="exact"/>
        <w:rPr>
          <w:sz w:val="20"/>
          <w:szCs w:val="20"/>
          <w:color w:val="auto"/>
        </w:rPr>
      </w:pPr>
    </w:p>
    <w:p>
      <w:pPr>
        <w:ind w:firstLine="401"/>
        <w:spacing w:after="0" w:line="266" w:lineRule="auto"/>
        <w:rPr>
          <w:sz w:val="20"/>
          <w:szCs w:val="20"/>
          <w:color w:val="auto"/>
        </w:rPr>
      </w:pPr>
      <w:r>
        <w:rPr>
          <w:rFonts w:ascii="Times New Roman" w:cs="Times New Roman" w:eastAsia="Times New Roman" w:hAnsi="Times New Roman"/>
          <w:sz w:val="18"/>
          <w:szCs w:val="18"/>
          <w:color w:val="auto"/>
        </w:rPr>
        <w:t>Diluted earnings per share is computed using the weighted average number of shares determined for the basic earnings per share computation plus the dilutive effect of common stock equivalents using the treasury stock method. The computation of diluted earnings per share excludes the following potentially dilutive securities because the effect would be anti-dilutive:</w:t>
      </w:r>
    </w:p>
    <w:p>
      <w:pPr>
        <w:spacing w:after="0" w:line="169" w:lineRule="exact"/>
        <w:rPr>
          <w:sz w:val="20"/>
          <w:szCs w:val="20"/>
          <w:color w:val="auto"/>
        </w:rPr>
      </w:pPr>
    </w:p>
    <w:p>
      <w:pPr>
        <w:jc w:val="center"/>
        <w:ind w:left="4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60" w:type="dxa"/>
        <w:tblCellMar>
          <w:top w:w="0" w:type="dxa"/>
          <w:left w:w="0" w:type="dxa"/>
          <w:bottom w:w="0" w:type="dxa"/>
          <w:right w:w="0" w:type="dxa"/>
        </w:tblCellMar>
      </w:tblPr>
      <w:tr>
        <w:trPr>
          <w:trHeight w:val="142"/>
        </w:trPr>
        <w:tc>
          <w:tcPr>
            <w:tcW w:w="416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16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2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129,069</w:t>
            </w:r>
          </w:p>
        </w:tc>
        <w:tc>
          <w:tcPr>
            <w:tcW w:w="1360" w:type="dxa"/>
            <w:vAlign w:val="bottom"/>
            <w:gridSpan w:val="2"/>
            <w:shd w:val="clear" w:color="auto" w:fill="DBE5F1"/>
          </w:tcPr>
          <w:p>
            <w:pPr>
              <w:jc w:val="right"/>
              <w:ind w:right="8"/>
              <w:spacing w:after="0"/>
              <w:rPr>
                <w:sz w:val="20"/>
                <w:szCs w:val="20"/>
                <w:color w:val="auto"/>
              </w:rPr>
            </w:pPr>
            <w:r>
              <w:rPr>
                <w:rFonts w:ascii="Times New Roman" w:cs="Times New Roman" w:eastAsia="Times New Roman" w:hAnsi="Times New Roman"/>
                <w:sz w:val="18"/>
                <w:szCs w:val="18"/>
                <w:color w:val="auto"/>
              </w:rPr>
              <w:t>55,132</w:t>
            </w: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92,795</w:t>
            </w:r>
          </w:p>
        </w:tc>
        <w:tc>
          <w:tcPr>
            <w:tcW w:w="13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48,597</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On May 4, 2023, the Trex Board of Directors adopted a new stock repurchase program (2023 Stock Repurchase Program) of up to 10.8 million shares of its outstanding common stock. The 2023 Stock Repurchase Program has no set expiration date. During the three months ended March 31, 2025, the Company did not repurchase any shares of its outstanding common stock under the 2023 Stock Repurchase Program.</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60"/>
          </w:cols>
          <w:pgMar w:left="1080" w:top="1201" w:right="1159" w:bottom="1440" w:gutter="0" w:footer="0" w:header="0"/>
        </w:sectPr>
      </w:pPr>
    </w:p>
    <w:bookmarkStart w:id="11" w:name="page12"/>
    <w:bookmarkEnd w:id="11"/>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13.</w:t>
        <w:tab/>
        <w:t>REVENUE FROM CONTRACTS WITH CUSTOMERS</w:t>
      </w:r>
    </w:p>
    <w:p>
      <w:pPr>
        <w:spacing w:after="0" w:line="202" w:lineRule="exact"/>
        <w:rPr>
          <w:sz w:val="20"/>
          <w:szCs w:val="20"/>
          <w:color w:val="auto"/>
        </w:rPr>
      </w:pPr>
    </w:p>
    <w:p>
      <w:pPr>
        <w:ind w:firstLine="401"/>
        <w:spacing w:after="0" w:line="252" w:lineRule="auto"/>
        <w:rPr>
          <w:sz w:val="20"/>
          <w:szCs w:val="20"/>
          <w:color w:val="auto"/>
        </w:rPr>
      </w:pPr>
      <w:r>
        <w:rPr>
          <w:rFonts w:ascii="Times New Roman" w:cs="Times New Roman" w:eastAsia="Times New Roman" w:hAnsi="Times New Roman"/>
          <w:sz w:val="18"/>
          <w:szCs w:val="18"/>
          <w:color w:val="auto"/>
        </w:rPr>
        <w:t>The Company principally generates revenue from the manufacture and sale of its high-performance, low-maintenance, eco-friendly wood-alternative composite decking and railing products and accessories. Substantially all of its revenues are from contracts with customers, which are purchase orders of short-term duration of less than one year. Its customers, in turn, sell primarily to the residential market, which includes replacement, remodeling and new construction related to outdoor living products. The Company satisfies its performance obligations at a point in time. The shipment of each product is a separate performance obligation as the customer is able to derive benefit from each product shipped and no performance obligation remains after shipment. Upon shipment of the product, the customer obtains control over the distinct product and Trex satisfies its performance obligation. Any performance obligation that remains unsatisfied at the end of a reporting period is part of a contract that has an original expected duration of one year or less. Any variable consideration related to the unsatisfied performance obligation is allocated wholly to the unsatisfied performance obligation, is recognized when the product ships and the performance obligation is satisfied and is included in “Accrued expenses and other liabilities, Sales and marketing” in Note 8 to the Condensed Consolidated Financial Statements. For the three months ended March 31, 2025 and March 31, 2024, the Company’s net sales were $339,993 and $373,635, respectively. During these periods, revenues were recognized at a point in time upon transfer of its outdoor living products under variable consideration contracts into the building products market.</w:t>
      </w:r>
    </w:p>
    <w:p>
      <w:pPr>
        <w:spacing w:after="0" w:line="15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8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May 4, 2023, the Company’s stockholders approved the Trex Company, Inc. 2023 Stock Incentive Plan (Plan). The Company’s board of directors unanimously approved the Plan on April 10, 2023, subject to stockholder approval. The Plan amends and restates in its entirety the Trex Company, Inc. 2014 Stock Incentive Plan (2014 Plan), which was last approved by the Company’s stockholders at the annual meeting held on April 30, 2014. The Plan, which will be administered by the compensation committee of the board of directors, provides for the grant of stock options, restricted stock, restricted stock units, stock appreciation rights and unrestricted stock, which are referred to collectively as “awards.” Awards may be granted under the Plan to officers, directors (including non-employee directors) and other employees of the Company or any subsidiary thereof, to any adviser, consultant, or other provider of services to the Company (and any employee thereof), and to any other individuals who are approved by the board of directors as eligible to participate in the Plan. Only employees of the Company or any subsidiary thereof are eligible to receive incentive stock options. Subject to certain adjustments as provided in the Plan, the total number of shares of common stock available for future grants under the Plan is 3,669,418 shares.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Company’s stock-based compensation grants for the three months ended March 31, 2025:</w:t>
      </w:r>
    </w:p>
    <w:p>
      <w:pPr>
        <w:spacing w:after="0" w:line="206"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4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Grant Price</w:t>
            </w:r>
          </w:p>
        </w:tc>
        <w:tc>
          <w:tcPr>
            <w:tcW w:w="0" w:type="dxa"/>
            <w:vAlign w:val="bottom"/>
          </w:tcPr>
          <w:p>
            <w:pPr>
              <w:spacing w:after="0"/>
              <w:rPr>
                <w:sz w:val="1"/>
                <w:szCs w:val="1"/>
                <w:color w:val="auto"/>
              </w:rPr>
            </w:pPr>
          </w:p>
        </w:tc>
      </w:tr>
      <w:tr>
        <w:trPr>
          <w:trHeight w:val="173"/>
        </w:trPr>
        <w:tc>
          <w:tcPr>
            <w:tcW w:w="4640" w:type="dxa"/>
            <w:vAlign w:val="bottom"/>
          </w:tcPr>
          <w:p>
            <w:pPr>
              <w:spacing w:after="0"/>
              <w:rPr>
                <w:sz w:val="15"/>
                <w:szCs w:val="15"/>
                <w:color w:val="auto"/>
              </w:rPr>
            </w:pPr>
          </w:p>
        </w:tc>
        <w:tc>
          <w:tcPr>
            <w:tcW w:w="10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Time-based restricted stock units</w:t>
            </w:r>
          </w:p>
        </w:tc>
        <w:tc>
          <w:tcPr>
            <w:tcW w:w="10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65,750</w:t>
            </w:r>
          </w:p>
        </w:tc>
        <w:tc>
          <w:tcPr>
            <w:tcW w:w="2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67.29</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 (a)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0" w:type="dxa"/>
            <w:vAlign w:val="bottom"/>
          </w:tcPr>
          <w:p>
            <w:pPr>
              <w:spacing w:after="0"/>
              <w:rPr>
                <w:sz w:val="1"/>
                <w:szCs w:val="1"/>
                <w:color w:val="auto"/>
              </w:rPr>
            </w:pPr>
          </w:p>
        </w:tc>
      </w:tr>
      <w:tr>
        <w:trPr>
          <w:trHeight w:val="216"/>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0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43,597</w:t>
            </w:r>
          </w:p>
        </w:tc>
        <w:tc>
          <w:tcPr>
            <w:tcW w:w="2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0" w:hanging="332"/>
        <w:spacing w:after="0" w:line="281"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75,210 of target performance-based restricted stock unit awards granted during the three months ended March 31, 2025, and adjustments of 1,093 and 20,760 to grants due to the actual performance level achieved for restricted stock and restricted stock units awarded in 2024 and 2023, respectively.</w:t>
      </w:r>
    </w:p>
    <w:p>
      <w:pPr>
        <w:spacing w:after="0" w:line="132" w:lineRule="exact"/>
        <w:rPr>
          <w:sz w:val="20"/>
          <w:szCs w:val="20"/>
          <w:color w:val="auto"/>
        </w:rPr>
      </w:pPr>
    </w:p>
    <w:p>
      <w:pPr>
        <w:ind w:right="160" w:firstLine="401"/>
        <w:spacing w:after="0" w:line="282" w:lineRule="auto"/>
        <w:rPr>
          <w:sz w:val="20"/>
          <w:szCs w:val="20"/>
          <w:color w:val="auto"/>
        </w:rPr>
      </w:pPr>
      <w:r>
        <w:rPr>
          <w:rFonts w:ascii="Times New Roman" w:cs="Times New Roman" w:eastAsia="Times New Roman" w:hAnsi="Times New Roman"/>
          <w:sz w:val="18"/>
          <w:szCs w:val="18"/>
          <w:color w:val="auto"/>
        </w:rPr>
        <w:t>The fair value of each SAR is estimated on the date of grant using a Black-Scholes option-pricing formula. For SARs issued in the three months ended March 31, 2025 and March 31, 2024, the data and assumptions shown in the following table were used:</w:t>
      </w:r>
    </w:p>
    <w:p>
      <w:pPr>
        <w:spacing w:after="0" w:line="143"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gridSpan w:val="2"/>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100" w:type="dxa"/>
            <w:vAlign w:val="bottom"/>
            <w:gridSpan w:val="2"/>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Three Months</w:t>
            </w:r>
          </w:p>
        </w:tc>
      </w:tr>
      <w:tr>
        <w:trPr>
          <w:trHeight w:val="148"/>
        </w:trPr>
        <w:tc>
          <w:tcPr>
            <w:tcW w:w="3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9"/>
        </w:trPr>
        <w:tc>
          <w:tcPr>
            <w:tcW w:w="3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3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Weighted-average fair value of grants</w:t>
            </w:r>
          </w:p>
        </w:tc>
        <w:tc>
          <w:tcPr>
            <w:tcW w:w="98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E5F1"/>
          </w:tcPr>
          <w:p>
            <w:pPr>
              <w:jc w:val="right"/>
              <w:ind w:right="97"/>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BE5F1"/>
          </w:tcPr>
          <w:p>
            <w:pPr>
              <w:jc w:val="right"/>
              <w:ind w:right="77"/>
              <w:spacing w:after="0"/>
              <w:rPr>
                <w:sz w:val="20"/>
                <w:szCs w:val="20"/>
                <w:color w:val="auto"/>
              </w:rPr>
            </w:pPr>
            <w:r>
              <w:rPr>
                <w:rFonts w:ascii="Times New Roman" w:cs="Times New Roman" w:eastAsia="Times New Roman" w:hAnsi="Times New Roman"/>
                <w:sz w:val="18"/>
                <w:szCs w:val="18"/>
                <w:color w:val="auto"/>
              </w:rPr>
              <w:t>44.83</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6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8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10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9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36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shd w:val="clear" w:color="auto" w:fill="DBE5F1"/>
          </w:tcPr>
          <w:p>
            <w:pPr>
              <w:spacing w:after="0"/>
              <w:rPr>
                <w:sz w:val="18"/>
                <w:szCs w:val="18"/>
                <w:color w:val="auto"/>
              </w:rPr>
            </w:pPr>
          </w:p>
        </w:tc>
        <w:tc>
          <w:tcPr>
            <w:tcW w:w="100" w:type="dxa"/>
            <w:vAlign w:val="bottom"/>
            <w:shd w:val="clear" w:color="auto" w:fill="DBE5F1"/>
          </w:tcPr>
          <w:p>
            <w:pPr>
              <w:spacing w:after="0"/>
              <w:rPr>
                <w:sz w:val="18"/>
                <w:szCs w:val="18"/>
                <w:color w:val="auto"/>
              </w:rPr>
            </w:pPr>
          </w:p>
        </w:tc>
        <w:tc>
          <w:tcPr>
            <w:tcW w:w="10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DBE5F1"/>
          </w:tcPr>
          <w:p>
            <w:pPr>
              <w:spacing w:after="0"/>
              <w:rPr>
                <w:sz w:val="18"/>
                <w:szCs w:val="18"/>
                <w:color w:val="auto"/>
              </w:rPr>
            </w:pPr>
          </w:p>
        </w:tc>
        <w:tc>
          <w:tcPr>
            <w:tcW w:w="120" w:type="dxa"/>
            <w:vAlign w:val="bottom"/>
            <w:shd w:val="clear" w:color="auto" w:fill="DBE5F1"/>
          </w:tcPr>
          <w:p>
            <w:pPr>
              <w:spacing w:after="0"/>
              <w:rPr>
                <w:sz w:val="18"/>
                <w:szCs w:val="18"/>
                <w:color w:val="auto"/>
              </w:rPr>
            </w:pPr>
          </w:p>
        </w:tc>
        <w:tc>
          <w:tcPr>
            <w:tcW w:w="9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51.2%</w:t>
            </w:r>
          </w:p>
        </w:tc>
      </w:tr>
    </w:tbl>
    <w:p>
      <w:pPr>
        <w:spacing w:after="0" w:line="198" w:lineRule="exact"/>
        <w:rPr>
          <w:sz w:val="20"/>
          <w:szCs w:val="20"/>
          <w:color w:val="auto"/>
        </w:rPr>
      </w:pPr>
    </w:p>
    <w:p>
      <w:pPr>
        <w:ind w:right="40" w:firstLine="401"/>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expense ratably over the period from the grant date to the earlier of: (1) the vesting date of the award, or (2) the date the grantee is eligible to retire without forfeiting the award. For performance-based restricted stock and performance-based restricted stock units, expense is recognized ratably over the performance and vesting period of each tranche based on management’s judgment of the ultimate award that is likely to be paid out based on the achievement of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57" w:right="1119" w:bottom="1440" w:gutter="0" w:footer="0" w:header="0"/>
        </w:sectPr>
      </w:pPr>
    </w:p>
    <w:bookmarkStart w:id="12" w:name="page13"/>
    <w:bookmarkEnd w:id="12"/>
    <w:p>
      <w:pPr>
        <w:ind w:right="480"/>
        <w:spacing w:after="0" w:line="261" w:lineRule="auto"/>
        <w:rPr>
          <w:sz w:val="20"/>
          <w:szCs w:val="20"/>
          <w:color w:val="auto"/>
        </w:rPr>
      </w:pPr>
      <w:r>
        <w:rPr>
          <w:rFonts w:ascii="Times New Roman" w:cs="Times New Roman" w:eastAsia="Times New Roman" w:hAnsi="Times New Roman"/>
          <w:sz w:val="18"/>
          <w:szCs w:val="18"/>
          <w:color w:val="auto"/>
        </w:rPr>
        <w:t>predetermined performance measures. For the employee stock purchase plan, compensation expense is recognized related to the discount on purchases. Stock-based compensation expense is included in “Selling, general and administrative expenses” in the Condensed Consolidated Statements of Comprehensive Income. The following table summarizes the Company’s stock-based compensation expense (in thousands):</w:t>
      </w:r>
    </w:p>
    <w:p>
      <w:pPr>
        <w:spacing w:after="0" w:line="173" w:lineRule="exact"/>
        <w:rPr>
          <w:sz w:val="20"/>
          <w:szCs w:val="20"/>
          <w:color w:val="auto"/>
        </w:rPr>
      </w:pPr>
    </w:p>
    <w:p>
      <w:pPr>
        <w:jc w:val="center"/>
        <w:ind w:left="4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4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60" w:type="dxa"/>
        <w:tblCellMar>
          <w:top w:w="0" w:type="dxa"/>
          <w:left w:w="0" w:type="dxa"/>
          <w:bottom w:w="0" w:type="dxa"/>
          <w:right w:w="0" w:type="dxa"/>
        </w:tblCellMar>
      </w:tblPr>
      <w:tr>
        <w:trPr>
          <w:trHeight w:val="142"/>
        </w:trPr>
        <w:tc>
          <w:tcPr>
            <w:tcW w:w="46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46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Stock appreciation rights</w:t>
            </w:r>
          </w:p>
        </w:tc>
        <w:tc>
          <w:tcPr>
            <w:tcW w:w="220" w:type="dxa"/>
            <w:vAlign w:val="bottom"/>
            <w:shd w:val="clear" w:color="auto" w:fill="DBE5F1"/>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20" w:type="dxa"/>
            <w:vAlign w:val="bottom"/>
            <w:gridSpan w:val="2"/>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Time-based restricted stock and restricted stock units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46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Performance-based restricted stock and restricted stock units</w:t>
            </w:r>
          </w:p>
        </w:tc>
        <w:tc>
          <w:tcPr>
            <w:tcW w:w="220" w:type="dxa"/>
            <w:vAlign w:val="bottom"/>
            <w:shd w:val="clear" w:color="auto" w:fill="DBE5F1"/>
          </w:tcPr>
          <w:p>
            <w:pPr>
              <w:spacing w:after="0"/>
              <w:rPr>
                <w:sz w:val="18"/>
                <w:szCs w:val="18"/>
                <w:color w:val="auto"/>
              </w:rPr>
            </w:pP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DBE5F1"/>
          </w:tcPr>
          <w:p>
            <w:pPr>
              <w:spacing w:after="0"/>
              <w:rPr>
                <w:sz w:val="18"/>
                <w:szCs w:val="18"/>
                <w:color w:val="auto"/>
              </w:rPr>
            </w:pPr>
          </w:p>
        </w:tc>
        <w:tc>
          <w:tcPr>
            <w:tcW w:w="220" w:type="dxa"/>
            <w:vAlign w:val="bottom"/>
            <w:shd w:val="clear" w:color="auto" w:fill="DBE5F1"/>
          </w:tcPr>
          <w:p>
            <w:pPr>
              <w:spacing w:after="0"/>
              <w:rPr>
                <w:sz w:val="18"/>
                <w:szCs w:val="18"/>
                <w:color w:val="auto"/>
              </w:rPr>
            </w:pP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1,642</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49"/>
        </w:trPr>
        <w:tc>
          <w:tcPr>
            <w:tcW w:w="4620" w:type="dxa"/>
            <w:vAlign w:val="bottom"/>
            <w:tcBorders>
              <w:bottom w:val="single" w:sz="8" w:color="DBE5F1"/>
            </w:tcBorders>
            <w:shd w:val="clear" w:color="auto" w:fill="DBE5F1"/>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bottom w:val="single" w:sz="8" w:color="auto"/>
            </w:tcBorders>
            <w:shd w:val="clear" w:color="auto" w:fill="DBE5F1"/>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00" w:type="dxa"/>
            <w:vAlign w:val="bottom"/>
            <w:tcBorders>
              <w:bottom w:val="single" w:sz="8" w:color="DBE5F1"/>
            </w:tcBorders>
            <w:shd w:val="clear" w:color="auto" w:fill="DBE5F1"/>
          </w:tcPr>
          <w:p>
            <w:pPr>
              <w:spacing w:after="0"/>
              <w:rPr>
                <w:sz w:val="21"/>
                <w:szCs w:val="21"/>
                <w:color w:val="auto"/>
              </w:rPr>
            </w:pPr>
          </w:p>
        </w:tc>
        <w:tc>
          <w:tcPr>
            <w:tcW w:w="220" w:type="dxa"/>
            <w:vAlign w:val="bottom"/>
            <w:tcBorders>
              <w:bottom w:val="single" w:sz="8" w:color="auto"/>
            </w:tcBorders>
            <w:shd w:val="clear" w:color="auto" w:fill="DBE5F1"/>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4519930</wp:posOffset>
            </wp:positionH>
            <wp:positionV relativeFrom="paragraph">
              <wp:posOffset>-25400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4519930</wp:posOffset>
            </wp:positionH>
            <wp:positionV relativeFrom="paragraph">
              <wp:posOffset>-8255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40" w:firstLine="401"/>
        <w:spacing w:after="0" w:line="282" w:lineRule="auto"/>
        <w:rPr>
          <w:sz w:val="20"/>
          <w:szCs w:val="20"/>
          <w:color w:val="auto"/>
        </w:rPr>
      </w:pPr>
      <w:r>
        <w:rPr>
          <w:rFonts w:ascii="Times New Roman" w:cs="Times New Roman" w:eastAsia="Times New Roman" w:hAnsi="Times New Roman"/>
          <w:sz w:val="18"/>
          <w:szCs w:val="18"/>
          <w:color w:val="auto"/>
        </w:rPr>
        <w:t>Total unrecognized compensation cost related to unvested awards as of March 31, 2025 was $17.3 million. The cost of these unvested awards is being recognized over the requisite vesting period of each award.</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15.</w:t>
        <w:tab/>
        <w:t>INCOME TAXES</w:t>
      </w:r>
    </w:p>
    <w:p>
      <w:pPr>
        <w:spacing w:after="0" w:line="202" w:lineRule="exact"/>
        <w:rPr>
          <w:sz w:val="20"/>
          <w:szCs w:val="20"/>
          <w:color w:val="auto"/>
        </w:rPr>
      </w:pPr>
    </w:p>
    <w:p>
      <w:pPr>
        <w:ind w:firstLine="401"/>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2025 and March 31, 2024, was 25.9% and 25.2%, which resulted in income tax expense of $21.2 million and $29.9 million, respectively.</w:t>
      </w:r>
    </w:p>
    <w:p>
      <w:pPr>
        <w:spacing w:after="0" w:line="121" w:lineRule="exact"/>
        <w:rPr>
          <w:sz w:val="20"/>
          <w:szCs w:val="20"/>
          <w:color w:val="auto"/>
        </w:rPr>
      </w:pPr>
    </w:p>
    <w:p>
      <w:pPr>
        <w:ind w:right="60" w:firstLine="401"/>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realized $(0.1) million and $0.6 million, respectively, of excess tax expense and excess tax benefit from stock-based awards and recorded a corresponding expense and benefit to income tax expense.</w:t>
      </w:r>
    </w:p>
    <w:p>
      <w:pPr>
        <w:spacing w:after="0" w:line="135" w:lineRule="exact"/>
        <w:rPr>
          <w:sz w:val="20"/>
          <w:szCs w:val="20"/>
          <w:color w:val="auto"/>
        </w:rPr>
      </w:pPr>
    </w:p>
    <w:p>
      <w:pPr>
        <w:ind w:firstLine="401"/>
        <w:spacing w:after="0" w:line="289" w:lineRule="auto"/>
        <w:rPr>
          <w:sz w:val="20"/>
          <w:szCs w:val="20"/>
          <w:color w:val="auto"/>
        </w:rPr>
      </w:pPr>
      <w:r>
        <w:rPr>
          <w:rFonts w:ascii="Times New Roman" w:cs="Times New Roman" w:eastAsia="Times New Roman" w:hAnsi="Times New Roman"/>
          <w:sz w:val="17"/>
          <w:szCs w:val="17"/>
          <w:color w:val="auto"/>
        </w:rPr>
        <w:t>The Company analyzes its deferred tax assets each reporting period, considering all available positive and negative evidence in determining the expected realization of those deferred tax assets. As of March 31, 2025, the Company maintains a valuation allowance of $2.6 million against deferred tax assets primarily related to state tax credits it estimates will expire before they are realized.</w:t>
      </w:r>
    </w:p>
    <w:p>
      <w:pPr>
        <w:spacing w:after="0" w:line="131" w:lineRule="exact"/>
        <w:rPr>
          <w:sz w:val="20"/>
          <w:szCs w:val="20"/>
          <w:color w:val="auto"/>
        </w:rPr>
      </w:pPr>
    </w:p>
    <w:p>
      <w:pPr>
        <w:ind w:right="40" w:firstLine="401"/>
        <w:spacing w:after="0" w:line="255" w:lineRule="auto"/>
        <w:rPr>
          <w:sz w:val="20"/>
          <w:szCs w:val="20"/>
          <w:color w:val="auto"/>
        </w:rPr>
      </w:pPr>
      <w:r>
        <w:rPr>
          <w:rFonts w:ascii="Times New Roman" w:cs="Times New Roman" w:eastAsia="Times New Roman" w:hAnsi="Times New Roman"/>
          <w:sz w:val="18"/>
          <w:szCs w:val="18"/>
          <w:color w:val="auto"/>
        </w:rPr>
        <w:t>The Company operates in multiple tax jurisdictions, and, in the normal course of business, its tax returns are subject to examination by various taxing authorities. Such examinations may result in future assessments by these taxing authorities, and the Company accrues a liability when it believes that it is more likely than not that benefits of tax positions will not be realized. The Company believes that adequate provisions have been made for all tax returns subject to examination. As of March 31, 2025, for certain tax jurisdictions tax years 2020 through 2024 remain subject to examination. The Company believes that adequate provisions have been made for all tax returns subject to examination. Sales made to foreign distributors are not taxable in any foreign jurisdiction as the Company does not have a taxable presence in any foreign jurisdiction.</w:t>
      </w:r>
    </w:p>
    <w:p>
      <w:pPr>
        <w:spacing w:after="0" w:line="14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89" w:lineRule="exact"/>
        <w:rPr>
          <w:sz w:val="20"/>
          <w:szCs w:val="20"/>
          <w:color w:val="auto"/>
        </w:rPr>
      </w:pPr>
    </w:p>
    <w:p>
      <w:pPr>
        <w:ind w:right="600" w:firstLine="401"/>
        <w:spacing w:after="0" w:line="282" w:lineRule="auto"/>
        <w:rPr>
          <w:sz w:val="20"/>
          <w:szCs w:val="20"/>
          <w:color w:val="auto"/>
        </w:rPr>
      </w:pPr>
      <w:r>
        <w:rPr>
          <w:rFonts w:ascii="Times New Roman" w:cs="Times New Roman" w:eastAsia="Times New Roman" w:hAnsi="Times New Roman"/>
          <w:sz w:val="18"/>
          <w:szCs w:val="18"/>
          <w:color w:val="auto"/>
        </w:rPr>
        <w:t>The Company operates in one reportable segment, Trex Residential, with resource allocation and assessment of financial performance based on a consolidated basis.</w:t>
      </w:r>
    </w:p>
    <w:p>
      <w:pPr>
        <w:spacing w:after="0" w:line="94" w:lineRule="exact"/>
        <w:rPr>
          <w:sz w:val="20"/>
          <w:szCs w:val="20"/>
          <w:color w:val="auto"/>
        </w:rPr>
      </w:pPr>
    </w:p>
    <w:p>
      <w:pPr>
        <w:ind w:right="240" w:firstLine="401"/>
        <w:spacing w:after="0" w:line="236" w:lineRule="auto"/>
        <w:rPr>
          <w:sz w:val="20"/>
          <w:szCs w:val="20"/>
          <w:color w:val="auto"/>
        </w:rPr>
      </w:pPr>
      <w:r>
        <w:rPr>
          <w:rFonts w:ascii="Times New Roman" w:cs="Times New Roman" w:eastAsia="Times New Roman" w:hAnsi="Times New Roman"/>
          <w:sz w:val="18"/>
          <w:szCs w:val="18"/>
          <w:color w:val="auto"/>
        </w:rPr>
        <w:t>Trex Residential manufactures composite decking and railing and related outdoor living products marketed under the brand name 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products are sold to its distributors and two national retailers who, in turn, sell primarily to the residential market, which includes replacement, remodeling and new construction.</w:t>
      </w:r>
    </w:p>
    <w:p>
      <w:pPr>
        <w:spacing w:after="0" w:line="132"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The Company’s reportable segments are determined in accordance with its internal management structure, which is based on operations. The Company has identified its President and Chief Executive Officer as the Chief Operating Decision Maker (CODM). The Company’s CODM has final authority over resource allocation decisions and performance assessments and makes key operating decisions. The primary objective of the CODM is to optimize positive Company-wide performance and financial results. The CODM evaluates segment performance primarily based on net income and net sales. The CODM uses net income to assess performance and allocate resources as this measure provides insight into all aspects of the segment’s operations and overall success of the segment for a given period. The CODM also uses net sales to assess performance and allocate resources as this measure represents the amount of business the segment engaged in during a given period of time, is an indicator of market growth and acceptance of segment products, and represents the segment’s customers’ spending habits along with the amount of product the segment sells relative to its competitors. In addition, the CODM reviews significant segment expenses with a primary focus on cost of sales and total selling, general, and administrative expenses. These measures are provided in the accompanying Condensed Consolidated Statements of Comprehensive Income. Segment assets are reported on the Condensed Consolidated Balance Sheets.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5" w:right="111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b w:val="1"/>
          <w:bCs w:val="1"/>
          <w:color w:val="auto"/>
        </w:rPr>
        <w:t>17.  SEASONALITY</w:t>
      </w:r>
    </w:p>
    <w:p>
      <w:pPr>
        <w:spacing w:after="0" w:line="202" w:lineRule="exact"/>
        <w:rPr>
          <w:sz w:val="20"/>
          <w:szCs w:val="20"/>
          <w:color w:val="auto"/>
        </w:rPr>
      </w:pPr>
    </w:p>
    <w:p>
      <w:pPr>
        <w:ind w:left="660" w:right="820" w:firstLine="401"/>
        <w:spacing w:after="0" w:line="256" w:lineRule="auto"/>
        <w:rPr>
          <w:sz w:val="20"/>
          <w:szCs w:val="20"/>
          <w:color w:val="auto"/>
        </w:rPr>
      </w:pPr>
      <w:r>
        <w:rPr>
          <w:rFonts w:ascii="Times New Roman" w:cs="Times New Roman" w:eastAsia="Times New Roman" w:hAnsi="Times New Roman"/>
          <w:sz w:val="18"/>
          <w:szCs w:val="18"/>
          <w:color w:val="auto"/>
        </w:rPr>
        <w:t>The operating results for Trex have historically varied from quarter to quarter. Seasonal, erratic or prolonged adverse weather conditions may reduce the level of home improvement and construction activity and can shift sales of its products to a later period or decrease overall sales in affected locations. As part of its normal business practice and consistent with industry practice, Trex has historically offered incentive programs to its distributors and dealers to build inventory levels before the start of the prime deck-building season in order to ensure adequate availability of its product to meet anticipated seasonal consumer demand. The seasonal effects are often offset by the positive effect of the incentive programs.</w:t>
      </w:r>
    </w:p>
    <w:p>
      <w:pPr>
        <w:spacing w:after="0" w:line="359" w:lineRule="exact"/>
        <w:rPr>
          <w:sz w:val="20"/>
          <w:szCs w:val="20"/>
          <w:color w:val="auto"/>
        </w:rPr>
      </w:pPr>
    </w:p>
    <w:p>
      <w:pPr>
        <w:ind w:left="1100" w:hanging="436"/>
        <w:spacing w:after="0"/>
        <w:tabs>
          <w:tab w:leader="none" w:pos="11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00" w:lineRule="exact"/>
        <w:rPr>
          <w:sz w:val="20"/>
          <w:szCs w:val="20"/>
          <w:color w:val="auto"/>
        </w:rPr>
      </w:pPr>
    </w:p>
    <w:p>
      <w:pPr>
        <w:ind w:left="660" w:right="660" w:firstLine="401"/>
        <w:spacing w:after="0" w:line="266" w:lineRule="auto"/>
        <w:rPr>
          <w:sz w:val="20"/>
          <w:szCs w:val="20"/>
          <w:color w:val="auto"/>
        </w:rPr>
      </w:pPr>
      <w:r>
        <w:rPr>
          <w:rFonts w:ascii="Times New Roman" w:cs="Times New Roman" w:eastAsia="Times New Roman" w:hAnsi="Times New Roman"/>
          <w:sz w:val="18"/>
          <w:szCs w:val="18"/>
          <w:color w:val="auto"/>
        </w:rPr>
        <w:t>The Company warrants that for the applicable warranty period its products, when properly installed, used and maintained, will be free from material defects in workmanship and materials and its decking, cladding, fascia and railing products will not split, splinter, rot or suffer structural damage from termites or fungal decay.</w:t>
      </w:r>
    </w:p>
    <w:p>
      <w:pPr>
        <w:spacing w:after="0" w:line="142" w:lineRule="exact"/>
        <w:rPr>
          <w:sz w:val="20"/>
          <w:szCs w:val="20"/>
          <w:color w:val="auto"/>
        </w:rPr>
      </w:pPr>
    </w:p>
    <w:p>
      <w:pPr>
        <w:ind w:left="660" w:right="740" w:firstLine="401"/>
        <w:spacing w:after="0" w:line="236" w:lineRule="auto"/>
        <w:rPr>
          <w:sz w:val="20"/>
          <w:szCs w:val="20"/>
          <w:color w:val="auto"/>
        </w:rPr>
      </w:pPr>
      <w:r>
        <w:rPr>
          <w:rFonts w:ascii="Times New Roman" w:cs="Times New Roman" w:eastAsia="Times New Roman" w:hAnsi="Times New Roman"/>
          <w:sz w:val="18"/>
          <w:szCs w:val="18"/>
          <w:color w:val="auto"/>
        </w:rPr>
        <w:t>Products sold on or after January 1, 2023: The warranty period for residential use is 50 years for Transcend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35 years for Select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and Universal Fascia, and 25 years for Enhance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 and Transcend, Select, Enhance and Signature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 The warranty period for commercial use is 10 years, excluding Signature railing and Transcend cladding, which each have a warranty period of 25 years. The Company further warrants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the Company has an obligation either to replace the defective product or refund the purchase price.</w:t>
      </w:r>
    </w:p>
    <w:p>
      <w:pPr>
        <w:spacing w:after="0" w:line="160" w:lineRule="exact"/>
        <w:rPr>
          <w:sz w:val="20"/>
          <w:szCs w:val="20"/>
          <w:color w:val="auto"/>
        </w:rPr>
      </w:pPr>
    </w:p>
    <w:p>
      <w:pPr>
        <w:ind w:left="660" w:right="680" w:firstLine="401"/>
        <w:spacing w:after="0" w:line="256" w:lineRule="auto"/>
        <w:rPr>
          <w:sz w:val="20"/>
          <w:szCs w:val="20"/>
          <w:color w:val="auto"/>
        </w:rPr>
      </w:pPr>
      <w:r>
        <w:rPr>
          <w:rFonts w:ascii="Times New Roman" w:cs="Times New Roman" w:eastAsia="Times New Roman" w:hAnsi="Times New Roman"/>
          <w:sz w:val="18"/>
          <w:szCs w:val="18"/>
          <w:color w:val="auto"/>
        </w:rPr>
        <w:t>Products sold prior to January 1, 2023: The warranty period is 25 years for residential use and 10 years for commercial use. With respect to Trex Signature railing, the warranty period is 25 years for both residential and commercial use. The Company further warrants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the Company has an obligation either to replace the defective product or refund the purchase price.</w:t>
      </w:r>
    </w:p>
    <w:p>
      <w:pPr>
        <w:spacing w:after="0" w:line="160" w:lineRule="exact"/>
        <w:rPr>
          <w:sz w:val="20"/>
          <w:szCs w:val="20"/>
          <w:color w:val="auto"/>
        </w:rPr>
      </w:pPr>
    </w:p>
    <w:p>
      <w:pPr>
        <w:ind w:left="660" w:right="720" w:firstLine="401"/>
        <w:spacing w:after="0" w:line="258" w:lineRule="auto"/>
        <w:rPr>
          <w:sz w:val="20"/>
          <w:szCs w:val="20"/>
          <w:color w:val="auto"/>
        </w:rPr>
      </w:pPr>
      <w:r>
        <w:rPr>
          <w:rFonts w:ascii="Times New Roman" w:cs="Times New Roman" w:eastAsia="Times New Roman" w:hAnsi="Times New Roman"/>
          <w:sz w:val="18"/>
          <w:szCs w:val="18"/>
          <w:color w:val="auto"/>
        </w:rPr>
        <w:t>The Company maintains a warranty reserve for the settlement of its product warranty claims. The Company accrues for the estimated cost of product warranty claims at the time revenue is recognized based on such factors as historical claims experience and estimated future claims. Management reviews and adjusts these estimates, if necessary, based on the differences between actual experience and historical estimates. Additionally, the Company accrues for warranty costs associated with occasional or unanticipated product quality issues if a loss is probable and can be reasonably estimated, as necessary.</w:t>
      </w:r>
    </w:p>
    <w:p>
      <w:pPr>
        <w:spacing w:after="0" w:line="143" w:lineRule="exact"/>
        <w:rPr>
          <w:sz w:val="20"/>
          <w:szCs w:val="20"/>
          <w:color w:val="auto"/>
        </w:rPr>
      </w:pPr>
    </w:p>
    <w:p>
      <w:pPr>
        <w:ind w:left="660" w:right="680" w:firstLine="401"/>
        <w:spacing w:after="0" w:line="281" w:lineRule="auto"/>
        <w:rPr>
          <w:sz w:val="20"/>
          <w:szCs w:val="20"/>
          <w:color w:val="auto"/>
        </w:rPr>
      </w:pPr>
      <w:r>
        <w:rPr>
          <w:rFonts w:ascii="Times New Roman" w:cs="Times New Roman" w:eastAsia="Times New Roman" w:hAnsi="Times New Roman"/>
          <w:sz w:val="17"/>
          <w:szCs w:val="17"/>
          <w:color w:val="auto"/>
        </w:rPr>
        <w:t>The Company continues to receive and settle claims for decking products manufactured at its Nevada facility prior to 2007 that exhibit surface flaking and maintains a warranty reserve to provide for the settlement of these claims. Estimating the warranty reserve for surface flaking claims requires management to estimate the number of claims to be settled with payment and the average cost to settle each claim. The Company monitors surface flaking claims activity each quarter for indications that its estimates require revision.</w:t>
      </w:r>
    </w:p>
    <w:p>
      <w:pPr>
        <w:spacing w:after="0" w:line="124" w:lineRule="exact"/>
        <w:rPr>
          <w:sz w:val="20"/>
          <w:szCs w:val="20"/>
          <w:color w:val="auto"/>
        </w:rPr>
      </w:pPr>
    </w:p>
    <w:p>
      <w:pPr>
        <w:ind w:left="660" w:right="660" w:firstLine="401"/>
        <w:spacing w:after="0" w:line="282" w:lineRule="auto"/>
        <w:rPr>
          <w:sz w:val="20"/>
          <w:szCs w:val="20"/>
          <w:color w:val="auto"/>
        </w:rPr>
      </w:pPr>
      <w:r>
        <w:rPr>
          <w:rFonts w:ascii="Times New Roman" w:cs="Times New Roman" w:eastAsia="Times New Roman" w:hAnsi="Times New Roman"/>
          <w:sz w:val="18"/>
          <w:szCs w:val="18"/>
          <w:color w:val="auto"/>
        </w:rPr>
        <w:t>The Company believes its product warranty and surface flaking reserves at March 31, 2025 are sufficient to cover future warranty obligations. The following is a reconciliation of the Company’s product warranty and surface flaking reserves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6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Product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Surface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4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Flaking</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640" w:type="dxa"/>
            <w:vAlign w:val="bottom"/>
          </w:tcPr>
          <w:p>
            <w:pPr>
              <w:spacing w:after="0"/>
              <w:rPr>
                <w:sz w:val="18"/>
                <w:szCs w:val="18"/>
                <w:color w:val="auto"/>
              </w:rPr>
            </w:pPr>
          </w:p>
        </w:tc>
        <w:tc>
          <w:tcPr>
            <w:tcW w:w="31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500" w:type="dxa"/>
            <w:vAlign w:val="bottom"/>
            <w:gridSpan w:val="2"/>
            <w:shd w:val="clear" w:color="auto" w:fill="DBE5F1"/>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15,596</w:t>
            </w:r>
          </w:p>
        </w:tc>
        <w:tc>
          <w:tcPr>
            <w:tcW w:w="26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30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22,835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Provisions and changes in estimates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18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380" w:type="dxa"/>
            <w:vAlign w:val="bottom"/>
            <w:tcBorders>
              <w:bottom w:val="single" w:sz="8" w:color="DBE5F1"/>
            </w:tcBorders>
            <w:shd w:val="clear" w:color="auto" w:fill="DBE5F1"/>
          </w:tcPr>
          <w:p>
            <w:pPr>
              <w:spacing w:after="0"/>
              <w:rPr>
                <w:sz w:val="18"/>
                <w:szCs w:val="18"/>
                <w:color w:val="auto"/>
              </w:rPr>
            </w:pPr>
          </w:p>
        </w:tc>
        <w:tc>
          <w:tcPr>
            <w:tcW w:w="120" w:type="dxa"/>
            <w:vAlign w:val="bottom"/>
            <w:tcBorders>
              <w:bottom w:val="single" w:sz="8" w:color="auto"/>
            </w:tcBorders>
            <w:shd w:val="clear" w:color="auto" w:fill="DBE5F1"/>
          </w:tcPr>
          <w:p>
            <w:pPr>
              <w:spacing w:after="0"/>
              <w:rPr>
                <w:sz w:val="18"/>
                <w:szCs w:val="18"/>
                <w:color w:val="auto"/>
              </w:rPr>
            </w:pPr>
          </w:p>
        </w:tc>
        <w:tc>
          <w:tcPr>
            <w:tcW w:w="8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bottom w:val="single" w:sz="8" w:color="DBE5F1"/>
            </w:tcBorders>
            <w:shd w:val="clear" w:color="auto" w:fill="DBE5F1"/>
          </w:tcPr>
          <w:p>
            <w:pPr>
              <w:spacing w:after="0"/>
              <w:rPr>
                <w:sz w:val="18"/>
                <w:szCs w:val="18"/>
                <w:color w:val="auto"/>
              </w:rPr>
            </w:pPr>
          </w:p>
        </w:tc>
        <w:tc>
          <w:tcPr>
            <w:tcW w:w="160" w:type="dxa"/>
            <w:vAlign w:val="bottom"/>
            <w:tcBorders>
              <w:bottom w:val="single" w:sz="8" w:color="auto"/>
            </w:tcBorders>
            <w:shd w:val="clear" w:color="auto" w:fill="DBE5F1"/>
          </w:tcPr>
          <w:p>
            <w:pPr>
              <w:spacing w:after="0"/>
              <w:rPr>
                <w:sz w:val="18"/>
                <w:szCs w:val="18"/>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tcBorders>
              <w:bottom w:val="single" w:sz="8" w:color="DBE5F1"/>
            </w:tcBorders>
            <w:shd w:val="clear" w:color="auto" w:fill="DBE5F1"/>
          </w:tcPr>
          <w:p>
            <w:pPr>
              <w:spacing w:after="0"/>
              <w:rPr>
                <w:sz w:val="18"/>
                <w:szCs w:val="18"/>
                <w:color w:val="auto"/>
              </w:rPr>
            </w:pPr>
          </w:p>
        </w:tc>
        <w:tc>
          <w:tcPr>
            <w:tcW w:w="180" w:type="dxa"/>
            <w:vAlign w:val="bottom"/>
            <w:tcBorders>
              <w:bottom w:val="single" w:sz="8" w:color="auto"/>
            </w:tcBorders>
            <w:shd w:val="clear" w:color="auto" w:fill="DBE5F1"/>
          </w:tcPr>
          <w:p>
            <w:pPr>
              <w:spacing w:after="0"/>
              <w:rPr>
                <w:sz w:val="18"/>
                <w:szCs w:val="18"/>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March 31</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23,791</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38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64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-1079500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5273675</wp:posOffset>
            </wp:positionH>
            <wp:positionV relativeFrom="paragraph">
              <wp:posOffset>-1079500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040"/>
          </w:cols>
          <w:pgMar w:left="420" w:top="1157" w:right="439" w:bottom="1440" w:gutter="0" w:footer="0" w:header="0"/>
        </w:sectPr>
      </w:pPr>
    </w:p>
    <w:bookmarkStart w:id="14" w:name="page15"/>
    <w:bookmarkEnd w:id="14"/>
    <w:tbl>
      <w:tblPr>
        <w:tblLayout w:type="fixed"/>
        <w:tblInd w:w="980" w:type="dxa"/>
        <w:tblCellMar>
          <w:top w:w="0" w:type="dxa"/>
          <w:left w:w="0" w:type="dxa"/>
          <w:bottom w:w="0" w:type="dxa"/>
          <w:right w:w="0" w:type="dxa"/>
        </w:tblCellMar>
      </w:tblPr>
      <w:tr>
        <w:trPr>
          <w:trHeight w:val="173"/>
        </w:trPr>
        <w:tc>
          <w:tcPr>
            <w:tcW w:w="4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7"/>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117"/>
        </w:trPr>
        <w:tc>
          <w:tcPr>
            <w:tcW w:w="4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Product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ind w:right="177"/>
              <w:spacing w:after="0" w:line="118" w:lineRule="exact"/>
              <w:rPr>
                <w:sz w:val="20"/>
                <w:szCs w:val="20"/>
                <w:color w:val="auto"/>
              </w:rPr>
            </w:pPr>
            <w:r>
              <w:rPr>
                <w:rFonts w:ascii="Times New Roman" w:cs="Times New Roman" w:eastAsia="Times New Roman" w:hAnsi="Times New Roman"/>
                <w:sz w:val="13"/>
                <w:szCs w:val="13"/>
                <w:b w:val="1"/>
                <w:bCs w:val="1"/>
                <w:color w:val="auto"/>
              </w:rPr>
              <w:t>Surface</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Warranty</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Flaking</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Beginning balance, January 1</w:t>
            </w:r>
          </w:p>
        </w:tc>
        <w:tc>
          <w:tcPr>
            <w:tcW w:w="1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260" w:type="dxa"/>
            <w:vAlign w:val="bottom"/>
            <w:gridSpan w:val="2"/>
            <w:shd w:val="clear" w:color="auto" w:fill="DBE5F1"/>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30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22,178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Provisions and changes in estimates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16"/>
        </w:trPr>
        <w:tc>
          <w:tcPr>
            <w:tcW w:w="456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120" w:type="dxa"/>
            <w:vAlign w:val="bottom"/>
            <w:tcBorders>
              <w:bottom w:val="single" w:sz="8" w:color="auto"/>
            </w:tcBorders>
            <w:shd w:val="clear" w:color="auto" w:fill="DBE5F1"/>
          </w:tcPr>
          <w:p>
            <w:pPr>
              <w:spacing w:after="0"/>
              <w:rPr>
                <w:sz w:val="18"/>
                <w:szCs w:val="18"/>
                <w:color w:val="auto"/>
              </w:rPr>
            </w:pPr>
          </w:p>
        </w:tc>
        <w:tc>
          <w:tcPr>
            <w:tcW w:w="88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DBE5F1"/>
            </w:tcBorders>
            <w:shd w:val="clear" w:color="auto" w:fill="DBE5F1"/>
          </w:tcPr>
          <w:p>
            <w:pPr>
              <w:spacing w:after="0"/>
              <w:rPr>
                <w:sz w:val="18"/>
                <w:szCs w:val="18"/>
                <w:color w:val="auto"/>
              </w:rPr>
            </w:pPr>
          </w:p>
        </w:tc>
        <w:tc>
          <w:tcPr>
            <w:tcW w:w="160" w:type="dxa"/>
            <w:vAlign w:val="bottom"/>
            <w:tcBorders>
              <w:bottom w:val="single" w:sz="8" w:color="auto"/>
            </w:tcBorders>
            <w:shd w:val="clear" w:color="auto" w:fill="DBE5F1"/>
          </w:tcPr>
          <w:p>
            <w:pPr>
              <w:spacing w:after="0"/>
              <w:rPr>
                <w:sz w:val="18"/>
                <w:szCs w:val="18"/>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DBE5F1"/>
            </w:tcBorders>
            <w:shd w:val="clear" w:color="auto" w:fill="DBE5F1"/>
          </w:tcPr>
          <w:p>
            <w:pPr>
              <w:spacing w:after="0"/>
              <w:rPr>
                <w:sz w:val="18"/>
                <w:szCs w:val="18"/>
                <w:color w:val="auto"/>
              </w:rPr>
            </w:pPr>
          </w:p>
        </w:tc>
        <w:tc>
          <w:tcPr>
            <w:tcW w:w="180" w:type="dxa"/>
            <w:vAlign w:val="bottom"/>
            <w:tcBorders>
              <w:bottom w:val="single" w:sz="8" w:color="auto"/>
            </w:tcBorders>
            <w:shd w:val="clear" w:color="auto" w:fill="DBE5F1"/>
          </w:tcPr>
          <w:p>
            <w:pPr>
              <w:spacing w:after="0"/>
              <w:rPr>
                <w:sz w:val="18"/>
                <w:szCs w:val="18"/>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March 31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87" w:lineRule="exact"/>
        <w:rPr>
          <w:sz w:val="20"/>
          <w:szCs w:val="20"/>
          <w:color w:val="auto"/>
        </w:rPr>
      </w:pPr>
    </w:p>
    <w:p>
      <w:pPr>
        <w:ind w:right="60" w:firstLine="401"/>
        <w:spacing w:after="0" w:line="289" w:lineRule="auto"/>
        <w:rPr>
          <w:sz w:val="20"/>
          <w:szCs w:val="20"/>
          <w:color w:val="auto"/>
        </w:rPr>
      </w:pPr>
      <w:r>
        <w:rPr>
          <w:rFonts w:ascii="Times New Roman" w:cs="Times New Roman" w:eastAsia="Times New Roman" w:hAnsi="Times New Roman"/>
          <w:sz w:val="17"/>
          <w:szCs w:val="17"/>
          <w:color w:val="auto"/>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Revenue Bonds</w:t>
      </w:r>
    </w:p>
    <w:p>
      <w:pPr>
        <w:spacing w:after="0" w:line="187" w:lineRule="exact"/>
        <w:rPr>
          <w:sz w:val="20"/>
          <w:szCs w:val="20"/>
          <w:color w:val="auto"/>
        </w:rPr>
      </w:pPr>
    </w:p>
    <w:p>
      <w:pPr>
        <w:ind w:firstLine="401"/>
        <w:spacing w:after="0" w:line="253" w:lineRule="auto"/>
        <w:rPr>
          <w:sz w:val="20"/>
          <w:szCs w:val="20"/>
          <w:color w:val="auto"/>
        </w:rPr>
      </w:pPr>
      <w:r>
        <w:rPr>
          <w:rFonts w:ascii="Times New Roman" w:cs="Times New Roman" w:eastAsia="Times New Roman" w:hAnsi="Times New Roman"/>
          <w:sz w:val="18"/>
          <w:szCs w:val="18"/>
          <w:color w:val="auto"/>
        </w:rPr>
        <w:t>In October 2021, the Company announced plans to add a third manufacturing facility located in Little Rock, Arkansas (Little Rock). Construction on the new facility began in the second quarter of 2022. In connection with the construction of the new facility, during 2024 the Company and Little Rock entered into an agreement in which Little Rock agreed to issue up to $450 million of its industrial revenue bonds (IRBs) for the purpose of constructing a manufacturing facility. Under the agreement, the Company transferred ownership of the facility to Little Rock and simultaneously leased the related asset from Little Rock. The Company is also the purchaser of the IRBs and, therefore, is the bondholder as well as the borrower/lessee of the Little Rock facility purchased with the IRB proceeds. As a result of the agreement, the Company was able to reduce the cost of certain state and local tax expenditures for twenty years. The Company has a purchase option included in the lease agreement for below the fair value of the asset, which prevents the transfer of the asset to Little Rock from being recognized as a sale. Furthermore, the Company has not derecognized the transferred asset and continues to recognize it in property, plant and equipment in the Consolidated Balance Sheets. The Company has the right and intends to set-off any obligations to make payments under the finance liability, with proceeds due from the IRBs. The liability and IRB asset are equal and are reported net in the Consolidated Balance Sheets. As of March 31, 2025, the gross asset and liability associated with the IRBs was $100 million.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5" w:right="10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ind w:right="160"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management discussion should be read in conjunction with the Trex Company, Inc. (Trex, Company, we or our) Annual Report on Form 10-K for the year ended December 31, 2024 filed with the U.S. Securities and Exchange Commission (SEC) and the condensed consolidated financial statements and notes thereto included in Part I, Item 1. “Financial Statements” of this quarterly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ON FORWARD-LOOKING STATEMENTS</w:t>
      </w:r>
    </w:p>
    <w:p>
      <w:pPr>
        <w:spacing w:after="0" w:line="189" w:lineRule="exact"/>
        <w:rPr>
          <w:sz w:val="20"/>
          <w:szCs w:val="20"/>
          <w:color w:val="auto"/>
        </w:rPr>
      </w:pPr>
    </w:p>
    <w:p>
      <w:pPr>
        <w:ind w:firstLine="401"/>
        <w:spacing w:after="0" w:line="252" w:lineRule="auto"/>
        <w:rPr>
          <w:sz w:val="20"/>
          <w:szCs w:val="20"/>
          <w:color w:val="auto"/>
        </w:rPr>
      </w:pPr>
      <w:r>
        <w:rPr>
          <w:rFonts w:ascii="Times New Roman" w:cs="Times New Roman" w:eastAsia="Times New Roman" w:hAnsi="Times New Roman"/>
          <w:sz w:val="18"/>
          <w:szCs w:val="18"/>
          <w:color w:val="auto"/>
        </w:rPr>
        <w:t xml:space="preserve">This management’s discussion and analysis contains forward-looking statements within the meaning of Section 27A of the Securities Act of 1933 and Section 21E of the Securities Exchange Act of 1934. All statements regarding our expected financial position and operating results, our business strategy, our financing plans, forecasted demographic and economic trends relating to our industry and similar matters are forward-looking statements. These statements can sometimes be identified by our use of forward-looking words such as “may,” “will,” “anticipate,” “estimate,” “expect,” “intend” or similar expressions. We cannot promise you that our expectations in such forward-looking statements will turn out to be correct. Our actual results could be materially different from our expectations because of various factors, including the factors discussed under “Item 1A. Risk Factors” in our Annual Report on Form 10-K for the year ended December 31, 2024 filed with the SEC. These statements are also subject to risks and uncertainties that could cause the Company’s actual operating results to differ materially. Such risks and uncertainties include, but are not limited to: the extent of market acceptance of the Company’s current and newly developed products; the costs associated with the development and launch of new products and the market acceptance of such new products; the sensitivity of the Company’s business to general economic conditions; the impact of seasonal and weather-related demand fluctuations on inventory levels in the distribution channel and sales of the Company’s products; the availability and cost of third-party transportation services for the Company’s products and raw materials; the Company’s ability to obtain raw materials, including scrap polyethylene, wood fiber, and other materials used in making our products, at acceptable prices; increasing inflation and tariffs in the macro-economic environment; the Company’s ability to maintain product quality and product performance at an acceptable cost; the Company’s ability to increase throughput and capacity to adequately match supply with demand; the level of expenses associated with warranty claims, product replacement and consumer relations expenses related to product quality; the highly competitive markets in which the Company operates; cyber-attacks, security breaches or other security vulnerabilities; the impact of current and upcoming data privacy laws and the EU General Data Protection Regulation and the related actual or potential costs and consequences; material adverse impacts from </w:t>
      </w:r>
      <w:r>
        <w:rPr>
          <w:rFonts w:ascii="Times New Roman" w:cs="Times New Roman" w:eastAsia="Times New Roman" w:hAnsi="Times New Roman"/>
          <w:sz w:val="18"/>
          <w:szCs w:val="18"/>
          <w:color w:val="212529"/>
        </w:rPr>
        <w:t>global public health pandemics,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geopolitical conflicts; and material adverse impacts related to labor shortages or increases in labor costs</w:t>
      </w:r>
      <w:r>
        <w:rPr>
          <w:rFonts w:ascii="Times New Roman" w:cs="Times New Roman" w:eastAsia="Times New Roman" w:hAnsi="Times New Roman"/>
          <w:sz w:val="18"/>
          <w:szCs w:val="18"/>
          <w:color w:val="000000"/>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20" w:firstLine="401"/>
        <w:spacing w:after="0" w:line="261" w:lineRule="auto"/>
        <w:rPr>
          <w:sz w:val="20"/>
          <w:szCs w:val="20"/>
          <w:color w:val="auto"/>
        </w:rPr>
      </w:pPr>
      <w:r>
        <w:rPr>
          <w:rFonts w:ascii="Times New Roman" w:cs="Times New Roman" w:eastAsia="Times New Roman" w:hAnsi="Times New Roman"/>
          <w:sz w:val="18"/>
          <w:szCs w:val="18"/>
          <w:color w:val="auto"/>
        </w:rPr>
        <w:t>The following MD&amp;A is intended to help the reader understand the operations and current business environment of the Company. The MD&amp;A is provided as a supplement to, and should be read in conjunction with, our Condensed Consolidated Financial Statements and the accompanying notes thereto contained in "</w:t>
      </w:r>
      <w:r>
        <w:rPr>
          <w:rFonts w:ascii="Times New Roman" w:cs="Times New Roman" w:eastAsia="Times New Roman" w:hAnsi="Times New Roman"/>
          <w:sz w:val="18"/>
          <w:szCs w:val="18"/>
          <w:i w:val="1"/>
          <w:iCs w:val="1"/>
          <w:color w:val="auto"/>
        </w:rPr>
        <w:t>Item 1. Condensed Consolidated Financial Statements</w:t>
      </w:r>
      <w:r>
        <w:rPr>
          <w:rFonts w:ascii="Times New Roman" w:cs="Times New Roman" w:eastAsia="Times New Roman" w:hAnsi="Times New Roman"/>
          <w:sz w:val="18"/>
          <w:szCs w:val="18"/>
          <w:color w:val="auto"/>
        </w:rPr>
        <w:t>" of this report. MD&amp;A includes the following sections:</w:t>
      </w:r>
    </w:p>
    <w:p>
      <w:pPr>
        <w:spacing w:after="0" w:line="29" w:lineRule="exact"/>
        <w:rPr>
          <w:sz w:val="20"/>
          <w:szCs w:val="20"/>
          <w:color w:val="auto"/>
        </w:rPr>
      </w:pPr>
    </w:p>
    <w:p>
      <w:pPr>
        <w:ind w:left="660" w:right="20" w:hanging="332"/>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Operations and Products </w:t>
      </w:r>
      <w:r>
        <w:rPr>
          <w:rFonts w:ascii="Times New Roman" w:cs="Times New Roman" w:eastAsia="Times New Roman" w:hAnsi="Times New Roman"/>
          <w:sz w:val="18"/>
          <w:szCs w:val="18"/>
          <w:color w:val="auto"/>
        </w:rPr>
        <w:t>— a general description of our business, a brief overview of our reportable segment’s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discussion of our operational highlights.</w:t>
      </w:r>
    </w:p>
    <w:p>
      <w:pPr>
        <w:spacing w:after="0" w:line="9" w:lineRule="exact"/>
        <w:rPr>
          <w:rFonts w:ascii="Times New Roman" w:cs="Times New Roman" w:eastAsia="Times New Roman" w:hAnsi="Times New Roman"/>
          <w:sz w:val="18"/>
          <w:szCs w:val="18"/>
          <w:color w:val="auto"/>
        </w:rPr>
      </w:pPr>
    </w:p>
    <w:p>
      <w:pPr>
        <w:ind w:left="660" w:right="220" w:hanging="332"/>
        <w:spacing w:after="0" w:line="267"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Highlights and Financial Performance Quarter-to-Date and Year-to-Date </w:t>
      </w:r>
      <w:r>
        <w:rPr>
          <w:rFonts w:ascii="Times New Roman" w:cs="Times New Roman" w:eastAsia="Times New Roman" w:hAnsi="Times New Roman"/>
          <w:sz w:val="18"/>
          <w:szCs w:val="18"/>
          <w:color w:val="auto"/>
        </w:rPr>
        <w:t>— a summary of financial performance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highlights for the three months ended March 31, 2025, a general discussion of factors that may affect our operations, and a description of relevant financial statement line items.</w:t>
      </w:r>
    </w:p>
    <w:p>
      <w:pPr>
        <w:spacing w:after="0" w:line="38" w:lineRule="exact"/>
        <w:rPr>
          <w:rFonts w:ascii="Times New Roman" w:cs="Times New Roman" w:eastAsia="Times New Roman" w:hAnsi="Times New Roman"/>
          <w:sz w:val="18"/>
          <w:szCs w:val="18"/>
          <w:color w:val="auto"/>
        </w:rPr>
      </w:pPr>
    </w:p>
    <w:p>
      <w:pPr>
        <w:ind w:left="660" w:right="320" w:hanging="332"/>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 an analysis of our consolidated results of operations for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three months ended March 31, 2024.</w:t>
      </w:r>
    </w:p>
    <w:p>
      <w:pPr>
        <w:spacing w:after="0" w:line="9" w:lineRule="exact"/>
        <w:rPr>
          <w:rFonts w:ascii="Times New Roman" w:cs="Times New Roman" w:eastAsia="Times New Roman" w:hAnsi="Times New Roman"/>
          <w:sz w:val="18"/>
          <w:szCs w:val="18"/>
          <w:color w:val="auto"/>
        </w:rPr>
      </w:pPr>
    </w:p>
    <w:p>
      <w:pPr>
        <w:ind w:left="660" w:right="320" w:hanging="332"/>
        <w:spacing w:after="0" w:line="284"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 an analysis of cash flows; contractual obligations, and a discussion of our capital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cash requirements.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 AND PRODUCTS</w:t>
      </w:r>
    </w:p>
    <w:p>
      <w:pPr>
        <w:spacing w:after="0" w:line="200" w:lineRule="exact"/>
        <w:rPr>
          <w:sz w:val="20"/>
          <w:szCs w:val="20"/>
          <w:color w:val="auto"/>
        </w:rPr>
      </w:pPr>
    </w:p>
    <w:p>
      <w:pPr>
        <w:ind w:right="120" w:firstLine="401"/>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Trex </w:t>
      </w:r>
      <w:r>
        <w:rPr>
          <w:rFonts w:ascii="Times New Roman" w:cs="Times New Roman" w:eastAsia="Times New Roman" w:hAnsi="Times New Roman"/>
          <w:sz w:val="17"/>
          <w:szCs w:val="17"/>
          <w:color w:val="auto"/>
        </w:rPr>
        <w:t>is the world’s largest manufacturer of high-performance composite decking and railing products and a leader in outdoor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living products, which are marketed under the brand name Trex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7"/>
          <w:szCs w:val="17"/>
          <w:color w:val="auto"/>
        </w:rPr>
        <w:t xml:space="preserve"> and manufactured in the United States. With more than 30 years of product experience, we offer a comprehensive set of aesthetically appealing and durable, low-maintenance product offerings in the decking, railing, fencing and outdoor lighting categories. A majority of the products are eco-friendly and leverage recycled and reclaimed materials to the extent possible. Trex decking is made in a proprietary process that combines reclaimed wood fibers and recycled polyethylene film, making Trex one of the largest recyclers of plastic film in North America. In addition to resisting fading and surface staining, Trex products require no sanding and sealing, resist moisture damage, provide a splinter-free surface and do not require chemical treatment against rot or insect infestation. Combined, these aspects yield significant aesthetic advantages and lower maintenance than wood decking and railing and ultimately render Trex products less costly than wood over the life of the deck. Special characteristics (including resistance to splitting, the ability to bend, and ease and consistency of machining and finishing)</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1" w:right="1119" w:bottom="1440" w:gutter="0" w:footer="0" w:header="0"/>
        </w:sectPr>
      </w:pPr>
    </w:p>
    <w:bookmarkStart w:id="16" w:name="page17"/>
    <w:bookmarkEnd w:id="16"/>
    <w:p>
      <w:pPr>
        <w:ind w:left="660" w:right="1040"/>
        <w:spacing w:after="0" w:line="282" w:lineRule="auto"/>
        <w:rPr>
          <w:sz w:val="20"/>
          <w:szCs w:val="20"/>
          <w:color w:val="auto"/>
        </w:rPr>
      </w:pPr>
      <w:r>
        <w:rPr>
          <w:rFonts w:ascii="Times New Roman" w:cs="Times New Roman" w:eastAsia="Times New Roman" w:hAnsi="Times New Roman"/>
          <w:sz w:val="18"/>
          <w:szCs w:val="18"/>
          <w:color w:val="auto"/>
        </w:rPr>
        <w:t>facilitate installation, reduce contractor call-backs and afford consumers a wide range of design options. Trex products are sold to distributors and home centers for final resale primarily to the residential market.</w:t>
      </w:r>
    </w:p>
    <w:p>
      <w:pPr>
        <w:spacing w:after="0" w:line="13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Trex offers the following products: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0" w:type="dxa"/>
            <w:vAlign w:val="bottom"/>
            <w:tcBorders>
              <w:right w:val="single" w:sz="8" w:color="auto"/>
            </w:tcBorders>
          </w:tcPr>
          <w:p>
            <w:pPr>
              <w:spacing w:after="0"/>
              <w:rPr>
                <w:sz w:val="18"/>
                <w:szCs w:val="18"/>
                <w:color w:val="auto"/>
              </w:rPr>
            </w:pPr>
          </w:p>
        </w:tc>
        <w:tc>
          <w:tcPr>
            <w:tcW w:w="1320" w:type="dxa"/>
            <w:vAlign w:val="bottom"/>
            <w:tcBorders>
              <w:top w:val="single" w:sz="8" w:color="auto"/>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Decking</w:t>
            </w:r>
          </w:p>
        </w:tc>
        <w:tc>
          <w:tcPr>
            <w:tcW w:w="8400" w:type="dxa"/>
            <w:vAlign w:val="bottom"/>
            <w:tcBorders>
              <w:top w:val="single" w:sz="8" w:color="auto"/>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Our principal decking products are Trex Signature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Trex Transcend</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Lineage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Trex Transcend</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,Trex Select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and</w:t>
            </w: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and Trex Enhance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In addition, our Trex Transcend decking product can also be used as cladding. Our high-</w:t>
            </w:r>
          </w:p>
        </w:tc>
        <w:tc>
          <w:tcPr>
            <w:tcW w:w="640" w:type="dxa"/>
            <w:vAlign w:val="bottom"/>
          </w:tcPr>
          <w:p>
            <w:pPr>
              <w:spacing w:after="0"/>
              <w:rPr>
                <w:sz w:val="18"/>
                <w:szCs w:val="18"/>
                <w:color w:val="auto"/>
              </w:rPr>
            </w:pPr>
          </w:p>
        </w:tc>
      </w:tr>
      <w:tr>
        <w:trPr>
          <w:trHeight w:val="220"/>
        </w:trPr>
        <w:tc>
          <w:tcPr>
            <w:tcW w:w="68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shd w:val="clear" w:color="auto" w:fill="CCCCCC"/>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Accessories</w:t>
            </w: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performance, low-maintenance, eco-friendly composite decking products are comprised of a blend of 95 percent</w:t>
            </w:r>
          </w:p>
        </w:tc>
        <w:tc>
          <w:tcPr>
            <w:tcW w:w="640" w:type="dxa"/>
            <w:vAlign w:val="bottom"/>
          </w:tcPr>
          <w:p>
            <w:pPr>
              <w:spacing w:after="0"/>
              <w:rPr>
                <w:sz w:val="19"/>
                <w:szCs w:val="19"/>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reclaimed wood fibers and recycled polyethylene film and feature a protective polymer shell for enhanced</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protection against fading, staining, mold, and scratching. Trex Signature decking offers realistic woodgrain</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aesthetics that raise the bar for beauty, performance, and sustainability and is available in two luxurious hues</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inspired by stunning natural settings. Trex Transcend Lineage is the next generation of design and performance</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in composite decking and is available in seven luxurious, on-trend hues inspired by some of the most picturesque</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locales in the United States. Our Trex Transcend decking provides elevated aesthetics paired with the highest</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level of performance and is available in six multi-tonal monochromatic classical earth tones and premium</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tropical colors. Trex Select decking offers the perfect pairing of price and minimal maintenance and is available</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in two nature-inspired earth tone colors. Our Trex Enhance boards pair the beauty of authentic wood-grain</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appearance with the durability of composite with minimal maintenance and the affordability of wood and is</w:t>
            </w:r>
          </w:p>
        </w:tc>
        <w:tc>
          <w:tcPr>
            <w:tcW w:w="640" w:type="dxa"/>
            <w:vAlign w:val="bottom"/>
          </w:tcPr>
          <w:p>
            <w:pPr>
              <w:spacing w:after="0"/>
              <w:rPr>
                <w:sz w:val="18"/>
                <w:szCs w:val="18"/>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shd w:val="clear" w:color="auto" w:fill="CCCCCC"/>
          </w:tcPr>
          <w:p>
            <w:pPr>
              <w:spacing w:after="0"/>
              <w:rPr>
                <w:sz w:val="20"/>
                <w:szCs w:val="20"/>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available in natural and basic colors.</w:t>
            </w:r>
          </w:p>
        </w:tc>
        <w:tc>
          <w:tcPr>
            <w:tcW w:w="640" w:type="dxa"/>
            <w:vAlign w:val="bottom"/>
          </w:tcPr>
          <w:p>
            <w:pPr>
              <w:spacing w:after="0"/>
              <w:rPr>
                <w:sz w:val="20"/>
                <w:szCs w:val="20"/>
                <w:color w:val="auto"/>
              </w:rPr>
            </w:pPr>
          </w:p>
        </w:tc>
      </w:tr>
      <w:tr>
        <w:trPr>
          <w:trHeight w:val="319"/>
        </w:trPr>
        <w:tc>
          <w:tcPr>
            <w:tcW w:w="68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shd w:val="clear" w:color="auto" w:fill="CCCCCC"/>
          </w:tcPr>
          <w:p>
            <w:pPr>
              <w:spacing w:after="0"/>
              <w:rPr>
                <w:sz w:val="24"/>
                <w:szCs w:val="24"/>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We also offer accessories to our decking products. The Trex Hideaway</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Fastener Collection, offers solutions for</w:t>
            </w:r>
          </w:p>
        </w:tc>
        <w:tc>
          <w:tcPr>
            <w:tcW w:w="640" w:type="dxa"/>
            <w:vAlign w:val="bottom"/>
          </w:tcPr>
          <w:p>
            <w:pPr>
              <w:spacing w:after="0"/>
              <w:rPr>
                <w:sz w:val="24"/>
                <w:szCs w:val="24"/>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every composite deck fastening and finishing need, featuring color-matched screws and plugs, specially</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engineered bits, depth setters, and clips, designed to make installation easier and more efficient while delivering a</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clean, cohesive aesthetic. Trex DeckLighting</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an outdoor lighting system, is a line of energy-efficient LED</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dimmable deck lighting designed to use 75% less energy compared to incandescent lighting. It can be installed</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into the railing, stair risers, or the deck itself. The line includes a post cap light, deck rail light, riser light, a soffit</w:t>
            </w:r>
          </w:p>
        </w:tc>
        <w:tc>
          <w:tcPr>
            <w:tcW w:w="640" w:type="dxa"/>
            <w:vAlign w:val="bottom"/>
          </w:tcPr>
          <w:p>
            <w:pPr>
              <w:spacing w:after="0"/>
              <w:rPr>
                <w:sz w:val="18"/>
                <w:szCs w:val="18"/>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shd w:val="clear" w:color="auto" w:fill="CCCCCC"/>
          </w:tcPr>
          <w:p>
            <w:pPr>
              <w:spacing w:after="0"/>
              <w:rPr>
                <w:sz w:val="20"/>
                <w:szCs w:val="20"/>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light, and a recessed deck light.</w:t>
            </w:r>
          </w:p>
        </w:tc>
        <w:tc>
          <w:tcPr>
            <w:tcW w:w="640" w:type="dxa"/>
            <w:vAlign w:val="bottom"/>
          </w:tcPr>
          <w:p>
            <w:pPr>
              <w:spacing w:after="0"/>
              <w:rPr>
                <w:sz w:val="20"/>
                <w:szCs w:val="20"/>
                <w:color w:val="auto"/>
              </w:rPr>
            </w:pPr>
          </w:p>
        </w:tc>
      </w:tr>
      <w:tr>
        <w:trPr>
          <w:trHeight w:val="152"/>
        </w:trPr>
        <w:tc>
          <w:tcPr>
            <w:tcW w:w="680" w:type="dxa"/>
            <w:vAlign w:val="bottom"/>
            <w:tcBorders>
              <w:right w:val="single" w:sz="8" w:color="auto"/>
            </w:tcBorders>
          </w:tcPr>
          <w:p>
            <w:pPr>
              <w:spacing w:after="0"/>
              <w:rPr>
                <w:sz w:val="13"/>
                <w:szCs w:val="13"/>
                <w:color w:val="auto"/>
              </w:rPr>
            </w:pPr>
          </w:p>
        </w:tc>
        <w:tc>
          <w:tcPr>
            <w:tcW w:w="1320" w:type="dxa"/>
            <w:vAlign w:val="bottom"/>
            <w:tcBorders>
              <w:bottom w:val="single" w:sz="8" w:color="auto"/>
              <w:right w:val="single" w:sz="8" w:color="auto"/>
            </w:tcBorders>
            <w:shd w:val="clear" w:color="auto" w:fill="CCCCCC"/>
          </w:tcPr>
          <w:p>
            <w:pPr>
              <w:spacing w:after="0"/>
              <w:rPr>
                <w:sz w:val="13"/>
                <w:szCs w:val="13"/>
                <w:color w:val="auto"/>
              </w:rPr>
            </w:pPr>
          </w:p>
        </w:tc>
        <w:tc>
          <w:tcPr>
            <w:tcW w:w="8400" w:type="dxa"/>
            <w:vAlign w:val="bottom"/>
            <w:tcBorders>
              <w:bottom w:val="single" w:sz="8" w:color="auto"/>
              <w:right w:val="single" w:sz="8" w:color="auto"/>
            </w:tcBorders>
            <w:shd w:val="clear" w:color="auto" w:fill="CCCCCC"/>
          </w:tcPr>
          <w:p>
            <w:pPr>
              <w:spacing w:after="0"/>
              <w:rPr>
                <w:sz w:val="13"/>
                <w:szCs w:val="13"/>
                <w:color w:val="auto"/>
              </w:rPr>
            </w:pPr>
          </w:p>
        </w:tc>
        <w:tc>
          <w:tcPr>
            <w:tcW w:w="640" w:type="dxa"/>
            <w:vAlign w:val="bottom"/>
          </w:tcPr>
          <w:p>
            <w:pPr>
              <w:spacing w:after="0"/>
              <w:rPr>
                <w:sz w:val="13"/>
                <w:szCs w:val="13"/>
                <w:color w:val="auto"/>
              </w:rPr>
            </w:pPr>
          </w:p>
        </w:tc>
      </w:tr>
      <w:tr>
        <w:trPr>
          <w:trHeight w:val="154"/>
        </w:trPr>
        <w:tc>
          <w:tcPr>
            <w:tcW w:w="680" w:type="dxa"/>
            <w:vAlign w:val="bottom"/>
            <w:tcBorders>
              <w:right w:val="single" w:sz="8" w:color="auto"/>
            </w:tcBorders>
          </w:tcPr>
          <w:p>
            <w:pPr>
              <w:spacing w:after="0"/>
              <w:rPr>
                <w:sz w:val="13"/>
                <w:szCs w:val="13"/>
                <w:color w:val="auto"/>
              </w:rPr>
            </w:pPr>
          </w:p>
        </w:tc>
        <w:tc>
          <w:tcPr>
            <w:tcW w:w="1320" w:type="dxa"/>
            <w:vAlign w:val="bottom"/>
            <w:tcBorders>
              <w:right w:val="single" w:sz="8" w:color="auto"/>
            </w:tcBorders>
          </w:tcPr>
          <w:p>
            <w:pPr>
              <w:ind w:left="240"/>
              <w:spacing w:after="0" w:line="154" w:lineRule="exact"/>
              <w:rPr>
                <w:sz w:val="20"/>
                <w:szCs w:val="20"/>
                <w:color w:val="auto"/>
              </w:rPr>
            </w:pPr>
            <w:r>
              <w:rPr>
                <w:rFonts w:ascii="Times New Roman" w:cs="Times New Roman" w:eastAsia="Times New Roman" w:hAnsi="Times New Roman"/>
                <w:sz w:val="17"/>
                <w:szCs w:val="17"/>
                <w:b w:val="1"/>
                <w:bCs w:val="1"/>
                <w:i w:val="1"/>
                <w:iCs w:val="1"/>
                <w:color w:val="auto"/>
              </w:rPr>
              <w:t>Railing</w:t>
            </w:r>
          </w:p>
        </w:tc>
        <w:tc>
          <w:tcPr>
            <w:tcW w:w="8400" w:type="dxa"/>
            <w:vAlign w:val="bottom"/>
            <w:tcBorders>
              <w:right w:val="single" w:sz="8" w:color="auto"/>
            </w:tcBorders>
          </w:tcPr>
          <w:p>
            <w:pPr>
              <w:ind w:left="140"/>
              <w:spacing w:after="0" w:line="154" w:lineRule="exact"/>
              <w:rPr>
                <w:sz w:val="20"/>
                <w:szCs w:val="20"/>
                <w:color w:val="auto"/>
              </w:rPr>
            </w:pPr>
            <w:r>
              <w:rPr>
                <w:rFonts w:ascii="Times New Roman" w:cs="Times New Roman" w:eastAsia="Times New Roman" w:hAnsi="Times New Roman"/>
                <w:sz w:val="13"/>
                <w:szCs w:val="13"/>
                <w:color w:val="auto"/>
              </w:rPr>
              <w:t>Our railing products are Trex Signature</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X-Series</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Railing, Trex Signature</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aluminum railing, Trex Transcend</w:t>
            </w:r>
          </w:p>
        </w:tc>
        <w:tc>
          <w:tcPr>
            <w:tcW w:w="640" w:type="dxa"/>
            <w:vAlign w:val="bottom"/>
          </w:tcPr>
          <w:p>
            <w:pPr>
              <w:spacing w:after="0"/>
              <w:rPr>
                <w:sz w:val="13"/>
                <w:szCs w:val="13"/>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8400" w:type="dxa"/>
            <w:vAlign w:val="bottom"/>
            <w:tcBorders>
              <w:right w:val="single" w:sz="8" w:color="auto"/>
            </w:tcBorders>
          </w:tcPr>
          <w:p>
            <w:pPr>
              <w:ind w:left="140"/>
              <w:spacing w:after="0" w:line="250" w:lineRule="exact"/>
              <w:rPr>
                <w:sz w:val="20"/>
                <w:szCs w:val="20"/>
                <w:color w:val="auto"/>
              </w:rPr>
            </w:pPr>
            <w:r>
              <w:rPr>
                <w:rFonts w:ascii="Times New Roman" w:cs="Times New Roman" w:eastAsia="Times New Roman" w:hAnsi="Times New Roman"/>
                <w:sz w:val="18"/>
                <w:szCs w:val="18"/>
                <w:color w:val="auto"/>
                <w:w w:val="99"/>
              </w:rPr>
              <w:t>Railing, Trex Select</w:t>
            </w:r>
            <w:r>
              <w:rPr>
                <w:rFonts w:ascii="Times New Roman" w:cs="Times New Roman" w:eastAsia="Times New Roman" w:hAnsi="Times New Roman"/>
                <w:sz w:val="24"/>
                <w:szCs w:val="24"/>
                <w:color w:val="auto"/>
                <w:w w:val="99"/>
                <w:vertAlign w:val="superscript"/>
              </w:rPr>
              <w:t>®</w:t>
            </w:r>
            <w:r>
              <w:rPr>
                <w:rFonts w:ascii="Times New Roman" w:cs="Times New Roman" w:eastAsia="Times New Roman" w:hAnsi="Times New Roman"/>
                <w:sz w:val="18"/>
                <w:szCs w:val="18"/>
                <w:color w:val="auto"/>
                <w:w w:val="99"/>
              </w:rPr>
              <w:t xml:space="preserve"> Railing, Trex Select</w:t>
            </w:r>
            <w:r>
              <w:rPr>
                <w:rFonts w:ascii="Times New Roman" w:cs="Times New Roman" w:eastAsia="Times New Roman" w:hAnsi="Times New Roman"/>
                <w:sz w:val="24"/>
                <w:szCs w:val="24"/>
                <w:color w:val="auto"/>
                <w:w w:val="99"/>
                <w:vertAlign w:val="superscript"/>
              </w:rPr>
              <w:t>®</w:t>
            </w:r>
            <w:r>
              <w:rPr>
                <w:rFonts w:ascii="Times New Roman" w:cs="Times New Roman" w:eastAsia="Times New Roman" w:hAnsi="Times New Roman"/>
                <w:sz w:val="18"/>
                <w:szCs w:val="18"/>
                <w:color w:val="auto"/>
                <w:w w:val="99"/>
              </w:rPr>
              <w:t xml:space="preserve"> T-Rail, and Trex Enhance</w:t>
            </w:r>
            <w:r>
              <w:rPr>
                <w:rFonts w:ascii="Times New Roman" w:cs="Times New Roman" w:eastAsia="Times New Roman" w:hAnsi="Times New Roman"/>
                <w:sz w:val="24"/>
                <w:szCs w:val="24"/>
                <w:color w:val="auto"/>
                <w:w w:val="99"/>
                <w:vertAlign w:val="superscript"/>
              </w:rPr>
              <w:t>™</w:t>
            </w:r>
            <w:r>
              <w:rPr>
                <w:rFonts w:ascii="Times New Roman" w:cs="Times New Roman" w:eastAsia="Times New Roman" w:hAnsi="Times New Roman"/>
                <w:sz w:val="18"/>
                <w:szCs w:val="18"/>
                <w:color w:val="auto"/>
                <w:w w:val="99"/>
              </w:rPr>
              <w:t xml:space="preserve"> Railing. Our high-performance cable rail,</w:t>
            </w:r>
          </w:p>
        </w:tc>
        <w:tc>
          <w:tcPr>
            <w:tcW w:w="640" w:type="dxa"/>
            <w:vAlign w:val="bottom"/>
          </w:tcPr>
          <w:p>
            <w:pPr>
              <w:spacing w:after="0"/>
              <w:rPr>
                <w:sz w:val="21"/>
                <w:szCs w:val="2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frameless glass rail, composite, and aluminum-deck railing kits and systems are sustainably manufactured, easy</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 install, and durable. Trex railing systems are built with the same durability as Trex decking and will not rot,</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warp, peel, or splinter and resist fading and corrosion. Trex Signature X-Series, made from approximately 30</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percent recycled materials, is available in Charcoal Black with stainless steel or glass infill. Trex Signature</w:t>
            </w:r>
          </w:p>
        </w:tc>
        <w:tc>
          <w:tcPr>
            <w:tcW w:w="640" w:type="dxa"/>
            <w:vAlign w:val="bottom"/>
          </w:tcPr>
          <w:p>
            <w:pPr>
              <w:spacing w:after="0"/>
              <w:rPr>
                <w:sz w:val="18"/>
                <w:szCs w:val="18"/>
                <w:color w:val="auto"/>
              </w:rPr>
            </w:pPr>
          </w:p>
        </w:tc>
      </w:tr>
      <w:tr>
        <w:trPr>
          <w:trHeight w:val="230"/>
        </w:trPr>
        <w:tc>
          <w:tcPr>
            <w:tcW w:w="68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aluminum railing, made from a minimum of 40 percent recycled content, is available in three colors and designed</w:t>
            </w:r>
          </w:p>
        </w:tc>
        <w:tc>
          <w:tcPr>
            <w:tcW w:w="640" w:type="dxa"/>
            <w:vAlign w:val="bottom"/>
          </w:tcPr>
          <w:p>
            <w:pPr>
              <w:spacing w:after="0"/>
              <w:rPr>
                <w:sz w:val="19"/>
                <w:szCs w:val="19"/>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 consumers who want a sleek, contemporary look. Trex Transcend Railing, made from approximately 40</w:t>
            </w:r>
          </w:p>
        </w:tc>
        <w:tc>
          <w:tcPr>
            <w:tcW w:w="640" w:type="dxa"/>
            <w:vAlign w:val="bottom"/>
          </w:tcPr>
          <w:p>
            <w:pPr>
              <w:spacing w:after="0"/>
              <w:rPr>
                <w:sz w:val="18"/>
                <w:szCs w:val="18"/>
                <w:color w:val="auto"/>
              </w:rPr>
            </w:pPr>
          </w:p>
        </w:tc>
      </w:tr>
      <w:tr>
        <w:trPr>
          <w:trHeight w:val="182"/>
        </w:trPr>
        <w:tc>
          <w:tcPr>
            <w:tcW w:w="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400" w:type="dxa"/>
            <w:vAlign w:val="bottom"/>
            <w:tcBorders>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percent recycled content, is available in four colors that complement our Trex decking products. Trex</w:t>
            </w:r>
          </w:p>
        </w:tc>
        <w:tc>
          <w:tcPr>
            <w:tcW w:w="640" w:type="dxa"/>
            <w:vAlign w:val="bottom"/>
          </w:tcPr>
          <w:p>
            <w:pPr>
              <w:spacing w:after="0"/>
              <w:rPr>
                <w:sz w:val="15"/>
                <w:szCs w:val="15"/>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140"/>
              <w:spacing w:after="0" w:line="216" w:lineRule="exact"/>
              <w:rPr>
                <w:sz w:val="20"/>
                <w:szCs w:val="20"/>
                <w:color w:val="auto"/>
              </w:rPr>
            </w:pPr>
            <w:r>
              <w:rPr>
                <w:rFonts w:ascii="Times New Roman" w:cs="Times New Roman" w:eastAsia="Times New Roman" w:hAnsi="Times New Roman"/>
                <w:sz w:val="18"/>
                <w:szCs w:val="18"/>
                <w:color w:val="auto"/>
              </w:rPr>
              <w:t>Select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 made from approximately 40 percent recycled content, is offered in a white finish and is ideal</w:t>
            </w:r>
          </w:p>
        </w:tc>
        <w:tc>
          <w:tcPr>
            <w:tcW w:w="640" w:type="dxa"/>
            <w:vAlign w:val="bottom"/>
          </w:tcPr>
          <w:p>
            <w:pPr>
              <w:spacing w:after="0"/>
              <w:rPr>
                <w:sz w:val="18"/>
                <w:szCs w:val="18"/>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8400" w:type="dxa"/>
            <w:vAlign w:val="bottom"/>
            <w:tcBorders>
              <w:right w:val="single" w:sz="8" w:color="auto"/>
            </w:tcBorders>
          </w:tcPr>
          <w:p>
            <w:pPr>
              <w:ind w:left="140"/>
              <w:spacing w:after="0" w:line="250" w:lineRule="exact"/>
              <w:rPr>
                <w:sz w:val="20"/>
                <w:szCs w:val="20"/>
                <w:color w:val="auto"/>
              </w:rPr>
            </w:pPr>
            <w:r>
              <w:rPr>
                <w:rFonts w:ascii="Times New Roman" w:cs="Times New Roman" w:eastAsia="Times New Roman" w:hAnsi="Times New Roman"/>
                <w:sz w:val="18"/>
                <w:szCs w:val="18"/>
                <w:color w:val="auto"/>
              </w:rPr>
              <w:t>for consumers who desire a simple clean finished look for their deck. Trex Select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T-Rail, made from a</w:t>
            </w:r>
          </w:p>
        </w:tc>
        <w:tc>
          <w:tcPr>
            <w:tcW w:w="640" w:type="dxa"/>
            <w:vAlign w:val="bottom"/>
          </w:tcPr>
          <w:p>
            <w:pPr>
              <w:spacing w:after="0"/>
              <w:rPr>
                <w:sz w:val="21"/>
                <w:szCs w:val="2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minimum of 40 percent recycled materials, is available in square composite balusters in Classic White for a</w:t>
            </w:r>
          </w:p>
        </w:tc>
        <w:tc>
          <w:tcPr>
            <w:tcW w:w="640" w:type="dxa"/>
            <w:vAlign w:val="bottom"/>
          </w:tcPr>
          <w:p>
            <w:pPr>
              <w:spacing w:after="0"/>
              <w:rPr>
                <w:sz w:val="18"/>
                <w:szCs w:val="18"/>
                <w:color w:val="auto"/>
              </w:rPr>
            </w:pPr>
          </w:p>
        </w:tc>
      </w:tr>
      <w:tr>
        <w:trPr>
          <w:trHeight w:val="182"/>
        </w:trPr>
        <w:tc>
          <w:tcPr>
            <w:tcW w:w="680" w:type="dxa"/>
            <w:vAlign w:val="bottom"/>
            <w:tcBorders>
              <w:right w:val="single" w:sz="8" w:color="auto"/>
            </w:tcBorders>
          </w:tcPr>
          <w:p>
            <w:pPr>
              <w:spacing w:after="0"/>
              <w:rPr>
                <w:sz w:val="15"/>
                <w:szCs w:val="15"/>
                <w:color w:val="auto"/>
              </w:rPr>
            </w:pPr>
          </w:p>
        </w:tc>
        <w:tc>
          <w:tcPr>
            <w:tcW w:w="1320" w:type="dxa"/>
            <w:vAlign w:val="bottom"/>
            <w:tcBorders>
              <w:right w:val="single" w:sz="8" w:color="auto"/>
            </w:tcBorders>
          </w:tcPr>
          <w:p>
            <w:pPr>
              <w:spacing w:after="0"/>
              <w:rPr>
                <w:sz w:val="15"/>
                <w:szCs w:val="15"/>
                <w:color w:val="auto"/>
              </w:rPr>
            </w:pPr>
          </w:p>
        </w:tc>
        <w:tc>
          <w:tcPr>
            <w:tcW w:w="8400" w:type="dxa"/>
            <w:vAlign w:val="bottom"/>
            <w:tcBorders>
              <w:right w:val="single" w:sz="8" w:color="auto"/>
            </w:tcBorders>
          </w:tcPr>
          <w:p>
            <w:pPr>
              <w:ind w:left="140"/>
              <w:spacing w:after="0" w:line="182" w:lineRule="exact"/>
              <w:rPr>
                <w:sz w:val="20"/>
                <w:szCs w:val="20"/>
                <w:color w:val="auto"/>
              </w:rPr>
            </w:pPr>
            <w:r>
              <w:rPr>
                <w:rFonts w:ascii="Times New Roman" w:cs="Times New Roman" w:eastAsia="Times New Roman" w:hAnsi="Times New Roman"/>
                <w:sz w:val="18"/>
                <w:szCs w:val="18"/>
                <w:color w:val="auto"/>
              </w:rPr>
              <w:t>cohesive, coordinated look, or round aluminum balusters in Charcoal Black for a more modern contrast. Trex</w:t>
            </w:r>
          </w:p>
        </w:tc>
        <w:tc>
          <w:tcPr>
            <w:tcW w:w="640" w:type="dxa"/>
            <w:vAlign w:val="bottom"/>
          </w:tcPr>
          <w:p>
            <w:pPr>
              <w:spacing w:after="0"/>
              <w:rPr>
                <w:sz w:val="15"/>
                <w:szCs w:val="15"/>
                <w:color w:val="auto"/>
              </w:rPr>
            </w:pPr>
          </w:p>
        </w:tc>
      </w:tr>
      <w:tr>
        <w:trPr>
          <w:trHeight w:val="250"/>
        </w:trPr>
        <w:tc>
          <w:tcPr>
            <w:tcW w:w="680" w:type="dxa"/>
            <w:vAlign w:val="bottom"/>
            <w:tcBorders>
              <w:right w:val="single" w:sz="8" w:color="auto"/>
            </w:tcBorders>
          </w:tcPr>
          <w:p>
            <w:pPr>
              <w:spacing w:after="0"/>
              <w:rPr>
                <w:sz w:val="21"/>
                <w:szCs w:val="21"/>
                <w:color w:val="auto"/>
              </w:rPr>
            </w:pPr>
          </w:p>
        </w:tc>
        <w:tc>
          <w:tcPr>
            <w:tcW w:w="1320" w:type="dxa"/>
            <w:vAlign w:val="bottom"/>
            <w:tcBorders>
              <w:right w:val="single" w:sz="8" w:color="auto"/>
            </w:tcBorders>
          </w:tcPr>
          <w:p>
            <w:pPr>
              <w:spacing w:after="0"/>
              <w:rPr>
                <w:sz w:val="21"/>
                <w:szCs w:val="21"/>
                <w:color w:val="auto"/>
              </w:rPr>
            </w:pPr>
          </w:p>
        </w:tc>
        <w:tc>
          <w:tcPr>
            <w:tcW w:w="8400" w:type="dxa"/>
            <w:vAlign w:val="bottom"/>
            <w:tcBorders>
              <w:right w:val="single" w:sz="8" w:color="auto"/>
            </w:tcBorders>
          </w:tcPr>
          <w:p>
            <w:pPr>
              <w:ind w:left="140"/>
              <w:spacing w:after="0" w:line="250" w:lineRule="exact"/>
              <w:rPr>
                <w:sz w:val="20"/>
                <w:szCs w:val="20"/>
                <w:color w:val="auto"/>
              </w:rPr>
            </w:pPr>
            <w:r>
              <w:rPr>
                <w:rFonts w:ascii="Times New Roman" w:cs="Times New Roman" w:eastAsia="Times New Roman" w:hAnsi="Times New Roman"/>
                <w:sz w:val="18"/>
                <w:szCs w:val="18"/>
                <w:color w:val="auto"/>
              </w:rPr>
              <w:t>Enhance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railing is available in four composite colors, and an Enhance Steel line was recently introduced in</w:t>
            </w:r>
          </w:p>
        </w:tc>
        <w:tc>
          <w:tcPr>
            <w:tcW w:w="640" w:type="dxa"/>
            <w:vAlign w:val="bottom"/>
          </w:tcPr>
          <w:p>
            <w:pPr>
              <w:spacing w:after="0"/>
              <w:rPr>
                <w:sz w:val="21"/>
                <w:szCs w:val="21"/>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84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Charcoal Black, to expand the Trex addressable market.</w:t>
            </w:r>
          </w:p>
        </w:tc>
        <w:tc>
          <w:tcPr>
            <w:tcW w:w="640" w:type="dxa"/>
            <w:vAlign w:val="bottom"/>
          </w:tcPr>
          <w:p>
            <w:pPr>
              <w:spacing w:after="0"/>
              <w:rPr>
                <w:sz w:val="20"/>
                <w:szCs w:val="20"/>
                <w:color w:val="auto"/>
              </w:rPr>
            </w:pPr>
          </w:p>
        </w:tc>
      </w:tr>
      <w:tr>
        <w:trPr>
          <w:trHeight w:val="135"/>
        </w:trPr>
        <w:tc>
          <w:tcPr>
            <w:tcW w:w="680" w:type="dxa"/>
            <w:vAlign w:val="bottom"/>
            <w:tcBorders>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8400" w:type="dxa"/>
            <w:vAlign w:val="bottom"/>
            <w:tcBorders>
              <w:bottom w:val="single" w:sz="8" w:color="auto"/>
              <w:right w:val="single" w:sz="8" w:color="auto"/>
            </w:tcBorders>
          </w:tcPr>
          <w:p>
            <w:pPr>
              <w:spacing w:after="0"/>
              <w:rPr>
                <w:sz w:val="11"/>
                <w:szCs w:val="11"/>
                <w:color w:val="auto"/>
              </w:rPr>
            </w:pPr>
          </w:p>
        </w:tc>
        <w:tc>
          <w:tcPr>
            <w:tcW w:w="640" w:type="dxa"/>
            <w:vAlign w:val="bottom"/>
          </w:tcPr>
          <w:p>
            <w:pPr>
              <w:spacing w:after="0"/>
              <w:rPr>
                <w:sz w:val="11"/>
                <w:szCs w:val="11"/>
                <w:color w:val="auto"/>
              </w:rPr>
            </w:pPr>
          </w:p>
        </w:tc>
      </w:tr>
      <w:tr>
        <w:trPr>
          <w:trHeight w:val="191"/>
        </w:trPr>
        <w:tc>
          <w:tcPr>
            <w:tcW w:w="680" w:type="dxa"/>
            <w:vAlign w:val="bottom"/>
            <w:tcBorders>
              <w:right w:val="single" w:sz="8" w:color="auto"/>
            </w:tcBorders>
          </w:tcPr>
          <w:p>
            <w:pPr>
              <w:spacing w:after="0"/>
              <w:rPr>
                <w:sz w:val="16"/>
                <w:szCs w:val="16"/>
                <w:color w:val="auto"/>
              </w:rPr>
            </w:pPr>
          </w:p>
        </w:tc>
        <w:tc>
          <w:tcPr>
            <w:tcW w:w="1320" w:type="dxa"/>
            <w:vAlign w:val="bottom"/>
            <w:tcBorders>
              <w:right w:val="single" w:sz="8" w:color="auto"/>
            </w:tcBorders>
            <w:shd w:val="clear" w:color="auto" w:fill="CCCCCC"/>
          </w:tcPr>
          <w:p>
            <w:pPr>
              <w:ind w:left="24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Fencing</w:t>
            </w:r>
          </w:p>
        </w:tc>
        <w:tc>
          <w:tcPr>
            <w:tcW w:w="8400" w:type="dxa"/>
            <w:vAlign w:val="bottom"/>
            <w:tcBorders>
              <w:right w:val="single" w:sz="8" w:color="auto"/>
            </w:tcBorders>
            <w:shd w:val="clear" w:color="auto" w:fill="CCCCCC"/>
          </w:tcPr>
          <w:p>
            <w:pPr>
              <w:ind w:left="140"/>
              <w:spacing w:after="0" w:line="191" w:lineRule="exact"/>
              <w:rPr>
                <w:sz w:val="20"/>
                <w:szCs w:val="20"/>
                <w:color w:val="auto"/>
              </w:rPr>
            </w:pPr>
            <w:r>
              <w:rPr>
                <w:rFonts w:ascii="Times New Roman" w:cs="Times New Roman" w:eastAsia="Times New Roman" w:hAnsi="Times New Roman"/>
                <w:sz w:val="18"/>
                <w:szCs w:val="18"/>
                <w:color w:val="auto"/>
              </w:rPr>
              <w:t>Our Trex Seclusions</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composite fencing product is offered through two specialty distributors. This product</w:t>
            </w:r>
          </w:p>
        </w:tc>
        <w:tc>
          <w:tcPr>
            <w:tcW w:w="640" w:type="dxa"/>
            <w:vAlign w:val="bottom"/>
          </w:tcPr>
          <w:p>
            <w:pPr>
              <w:spacing w:after="0"/>
              <w:rPr>
                <w:sz w:val="16"/>
                <w:szCs w:val="16"/>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consists of structural posts, bottom rails, pickets, top rails, and decorative post caps. The top and bottom rails of</w:t>
            </w:r>
          </w:p>
        </w:tc>
        <w:tc>
          <w:tcPr>
            <w:tcW w:w="640" w:type="dxa"/>
            <w:vAlign w:val="bottom"/>
          </w:tcPr>
          <w:p>
            <w:pPr>
              <w:spacing w:after="0"/>
              <w:rPr>
                <w:sz w:val="18"/>
                <w:szCs w:val="18"/>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shd w:val="clear" w:color="auto" w:fill="CCCCCC"/>
          </w:tcPr>
          <w:p>
            <w:pPr>
              <w:spacing w:after="0"/>
              <w:rPr>
                <w:sz w:val="18"/>
                <w:szCs w:val="18"/>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Trex fencing are designed to provide a “picture frame’ element and the deep rich colors have a matte surface to</w:t>
            </w:r>
          </w:p>
        </w:tc>
        <w:tc>
          <w:tcPr>
            <w:tcW w:w="640" w:type="dxa"/>
            <w:vAlign w:val="bottom"/>
          </w:tcPr>
          <w:p>
            <w:pPr>
              <w:spacing w:after="0"/>
              <w:rPr>
                <w:sz w:val="18"/>
                <w:szCs w:val="18"/>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shd w:val="clear" w:color="auto" w:fill="CCCCCC"/>
          </w:tcPr>
          <w:p>
            <w:pPr>
              <w:spacing w:after="0"/>
              <w:rPr>
                <w:sz w:val="20"/>
                <w:szCs w:val="20"/>
                <w:color w:val="auto"/>
              </w:rPr>
            </w:pPr>
          </w:p>
        </w:tc>
        <w:tc>
          <w:tcPr>
            <w:tcW w:w="8400" w:type="dxa"/>
            <w:vAlign w:val="bottom"/>
            <w:tcBorders>
              <w:right w:val="single" w:sz="8" w:color="auto"/>
            </w:tcBorders>
            <w:shd w:val="clear" w:color="auto" w:fill="CCCCCC"/>
          </w:tcPr>
          <w:p>
            <w:pPr>
              <w:ind w:left="140"/>
              <w:spacing w:after="0"/>
              <w:rPr>
                <w:sz w:val="20"/>
                <w:szCs w:val="20"/>
                <w:color w:val="auto"/>
              </w:rPr>
            </w:pPr>
            <w:r>
              <w:rPr>
                <w:rFonts w:ascii="Times New Roman" w:cs="Times New Roman" w:eastAsia="Times New Roman" w:hAnsi="Times New Roman"/>
                <w:sz w:val="18"/>
                <w:szCs w:val="18"/>
                <w:color w:val="auto"/>
              </w:rPr>
              <w:t>prevent harsh sunlight reflections.</w:t>
            </w:r>
          </w:p>
        </w:tc>
        <w:tc>
          <w:tcPr>
            <w:tcW w:w="640" w:type="dxa"/>
            <w:vAlign w:val="bottom"/>
          </w:tcPr>
          <w:p>
            <w:pPr>
              <w:spacing w:after="0"/>
              <w:rPr>
                <w:sz w:val="20"/>
                <w:szCs w:val="20"/>
                <w:color w:val="auto"/>
              </w:rPr>
            </w:pPr>
          </w:p>
        </w:tc>
      </w:tr>
      <w:tr>
        <w:trPr>
          <w:trHeight w:val="135"/>
        </w:trPr>
        <w:tc>
          <w:tcPr>
            <w:tcW w:w="680" w:type="dxa"/>
            <w:vAlign w:val="bottom"/>
            <w:tcBorders>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shd w:val="clear" w:color="auto" w:fill="CCCCCC"/>
          </w:tcPr>
          <w:p>
            <w:pPr>
              <w:spacing w:after="0"/>
              <w:rPr>
                <w:sz w:val="11"/>
                <w:szCs w:val="11"/>
                <w:color w:val="auto"/>
              </w:rPr>
            </w:pPr>
          </w:p>
        </w:tc>
        <w:tc>
          <w:tcPr>
            <w:tcW w:w="8400" w:type="dxa"/>
            <w:vAlign w:val="bottom"/>
            <w:tcBorders>
              <w:bottom w:val="single" w:sz="8" w:color="auto"/>
              <w:right w:val="single" w:sz="8" w:color="auto"/>
            </w:tcBorders>
            <w:shd w:val="clear" w:color="auto" w:fill="CCCCCC"/>
          </w:tcPr>
          <w:p>
            <w:pPr>
              <w:spacing w:after="0"/>
              <w:rPr>
                <w:sz w:val="11"/>
                <w:szCs w:val="11"/>
                <w:color w:val="auto"/>
              </w:rPr>
            </w:pPr>
          </w:p>
        </w:tc>
        <w:tc>
          <w:tcPr>
            <w:tcW w:w="640" w:type="dxa"/>
            <w:vAlign w:val="bottom"/>
          </w:tcPr>
          <w:p>
            <w:pPr>
              <w:spacing w:after="0"/>
              <w:rPr>
                <w:sz w:val="11"/>
                <w:szCs w:val="11"/>
                <w:color w:val="auto"/>
              </w:rPr>
            </w:pPr>
          </w:p>
        </w:tc>
      </w:tr>
      <w:tr>
        <w:trPr>
          <w:trHeight w:val="641"/>
        </w:trPr>
        <w:tc>
          <w:tcPr>
            <w:tcW w:w="6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16</w:t>
            </w:r>
          </w:p>
        </w:tc>
        <w:tc>
          <w:tcPr>
            <w:tcW w:w="640" w:type="dxa"/>
            <w:vAlign w:val="bottom"/>
          </w:tcPr>
          <w:p>
            <w:pPr>
              <w:spacing w:after="0"/>
              <w:rPr>
                <w:sz w:val="24"/>
                <w:szCs w:val="24"/>
                <w:color w:val="auto"/>
              </w:rPr>
            </w:pPr>
          </w:p>
        </w:tc>
      </w:tr>
      <w:tr>
        <w:trPr>
          <w:trHeight w:val="763"/>
        </w:trPr>
        <w:tc>
          <w:tcPr>
            <w:tcW w:w="6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61" w:right="439" w:bottom="1440" w:gutter="0" w:footer="0" w:header="0"/>
        </w:sectPr>
      </w:pPr>
    </w:p>
    <w:bookmarkStart w:id="17" w:name="page18"/>
    <w:bookmarkEnd w:id="17"/>
    <w:p>
      <w:pPr>
        <w:ind w:left="660" w:right="1300" w:firstLine="401"/>
        <w:spacing w:after="0" w:line="282" w:lineRule="auto"/>
        <w:rPr>
          <w:sz w:val="20"/>
          <w:szCs w:val="20"/>
          <w:color w:val="auto"/>
        </w:rPr>
      </w:pPr>
      <w:r>
        <w:rPr>
          <w:rFonts w:ascii="Times New Roman" w:cs="Times New Roman" w:eastAsia="Times New Roman" w:hAnsi="Times New Roman"/>
          <w:sz w:val="18"/>
          <w:szCs w:val="18"/>
          <w:color w:val="auto"/>
        </w:rPr>
        <w:t>We are a licensor in a number of licensing agreements with third parties to manufacture and sell products under the Trex trademark. Our licensed products are:</w:t>
      </w:r>
    </w:p>
    <w:p>
      <w:pPr>
        <w:spacing w:after="0" w:line="157" w:lineRule="exact"/>
        <w:rPr>
          <w:sz w:val="20"/>
          <w:szCs w:val="20"/>
          <w:color w:val="auto"/>
        </w:rPr>
      </w:pPr>
    </w:p>
    <w:tbl>
      <w:tblPr>
        <w:tblLayout w:type="fixed"/>
        <w:tblInd w:w="770" w:type="dxa"/>
        <w:tblCellMar>
          <w:top w:w="0" w:type="dxa"/>
          <w:left w:w="0" w:type="dxa"/>
          <w:bottom w:w="0" w:type="dxa"/>
          <w:right w:w="0" w:type="dxa"/>
        </w:tblCellMar>
      </w:tblPr>
      <w:tr>
        <w:trPr>
          <w:trHeight w:val="258"/>
        </w:trPr>
        <w:tc>
          <w:tcPr>
            <w:tcW w:w="2960" w:type="dxa"/>
            <w:vAlign w:val="bottom"/>
            <w:tcBorders>
              <w:top w:val="single" w:sz="8" w:color="auto"/>
              <w:left w:val="single" w:sz="8" w:color="auto"/>
              <w:right w:val="single" w:sz="8" w:color="auto"/>
            </w:tcBorders>
            <w:shd w:val="clear" w:color="auto" w:fill="CCCCCC"/>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Outdoor Furniture</w:t>
            </w:r>
            <w:r>
              <w:rPr>
                <w:rFonts w:ascii="Times New Roman" w:cs="Times New Roman" w:eastAsia="Times New Roman" w:hAnsi="Times New Roman"/>
                <w:sz w:val="9"/>
                <w:szCs w:val="9"/>
                <w:b w:val="1"/>
                <w:bCs w:val="1"/>
                <w:i w:val="1"/>
                <w:iCs w:val="1"/>
                <w:color w:val="auto"/>
              </w:rPr>
              <w:t>™</w:t>
            </w:r>
          </w:p>
        </w:tc>
        <w:tc>
          <w:tcPr>
            <w:tcW w:w="6580" w:type="dxa"/>
            <w:vAlign w:val="bottom"/>
            <w:tcBorders>
              <w:top w:val="single" w:sz="8" w:color="auto"/>
              <w:right w:val="single" w:sz="8" w:color="auto"/>
            </w:tcBorders>
            <w:shd w:val="clear" w:color="auto" w:fill="CCCCCC"/>
          </w:tcPr>
          <w:p>
            <w:pPr>
              <w:ind w:left="120"/>
              <w:spacing w:after="0"/>
              <w:rPr>
                <w:sz w:val="20"/>
                <w:szCs w:val="20"/>
                <w:color w:val="auto"/>
              </w:rPr>
            </w:pPr>
            <w:r>
              <w:rPr>
                <w:rFonts w:ascii="Times New Roman" w:cs="Times New Roman" w:eastAsia="Times New Roman" w:hAnsi="Times New Roman"/>
                <w:sz w:val="18"/>
                <w:szCs w:val="18"/>
                <w:color w:val="auto"/>
              </w:rPr>
              <w:t>A line of outdoor furniture products manufactured and sold by PolyWood, Inc.</w:t>
            </w:r>
          </w:p>
        </w:tc>
      </w:tr>
      <w:tr>
        <w:trPr>
          <w:trHeight w:val="126"/>
        </w:trPr>
        <w:tc>
          <w:tcPr>
            <w:tcW w:w="2960" w:type="dxa"/>
            <w:vAlign w:val="bottom"/>
            <w:tcBorders>
              <w:left w:val="single" w:sz="8" w:color="auto"/>
              <w:bottom w:val="single" w:sz="8" w:color="auto"/>
              <w:right w:val="single" w:sz="8" w:color="auto"/>
            </w:tcBorders>
            <w:shd w:val="clear" w:color="auto" w:fill="CCCCCC"/>
          </w:tcPr>
          <w:p>
            <w:pPr>
              <w:spacing w:after="0"/>
              <w:rPr>
                <w:sz w:val="10"/>
                <w:szCs w:val="10"/>
                <w:color w:val="auto"/>
              </w:rPr>
            </w:pPr>
          </w:p>
        </w:tc>
        <w:tc>
          <w:tcPr>
            <w:tcW w:w="6580" w:type="dxa"/>
            <w:vAlign w:val="bottom"/>
            <w:tcBorders>
              <w:bottom w:val="single" w:sz="8" w:color="auto"/>
              <w:right w:val="single" w:sz="8" w:color="auto"/>
            </w:tcBorders>
            <w:shd w:val="clear" w:color="auto" w:fill="CCCCCC"/>
          </w:tcPr>
          <w:p>
            <w:pPr>
              <w:spacing w:after="0"/>
              <w:rPr>
                <w:sz w:val="10"/>
                <w:szCs w:val="10"/>
                <w:color w:val="auto"/>
              </w:rPr>
            </w:pPr>
          </w:p>
        </w:tc>
      </w:tr>
      <w:tr>
        <w:trPr>
          <w:trHeight w:val="170"/>
        </w:trPr>
        <w:tc>
          <w:tcPr>
            <w:tcW w:w="2960" w:type="dxa"/>
            <w:vAlign w:val="bottom"/>
            <w:tcBorders>
              <w:left w:val="single" w:sz="8" w:color="auto"/>
              <w:right w:val="single" w:sz="8" w:color="auto"/>
            </w:tcBorders>
          </w:tcPr>
          <w:p>
            <w:pPr>
              <w:ind w:left="280"/>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RainEscape</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w:t>
            </w:r>
          </w:p>
        </w:tc>
        <w:tc>
          <w:tcPr>
            <w:tcW w:w="6580" w:type="dxa"/>
            <w:vAlign w:val="bottom"/>
            <w:tcBorders>
              <w:right w:val="single" w:sz="8" w:color="auto"/>
            </w:tcBorders>
          </w:tcPr>
          <w:p>
            <w:pPr>
              <w:ind w:left="120"/>
              <w:spacing w:after="0" w:line="170" w:lineRule="exact"/>
              <w:rPr>
                <w:sz w:val="20"/>
                <w:szCs w:val="20"/>
                <w:color w:val="auto"/>
              </w:rPr>
            </w:pPr>
            <w:r>
              <w:rPr>
                <w:rFonts w:ascii="Times New Roman" w:cs="Times New Roman" w:eastAsia="Times New Roman" w:hAnsi="Times New Roman"/>
                <w:sz w:val="18"/>
                <w:szCs w:val="18"/>
                <w:color w:val="auto"/>
              </w:rPr>
              <w:t>An above joist deck drainage system manufactured and sold by IBP, LLC. Trex Protect</w:t>
            </w:r>
          </w:p>
        </w:tc>
      </w:tr>
      <w:tr>
        <w:trPr>
          <w:trHeight w:val="216"/>
        </w:trPr>
        <w:tc>
          <w:tcPr>
            <w:tcW w:w="29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Protect, 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RainEscape</w:t>
            </w:r>
            <w:r>
              <w:rPr>
                <w:rFonts w:ascii="Times New Roman" w:cs="Times New Roman" w:eastAsia="Times New Roman" w:hAnsi="Times New Roman"/>
                <w:sz w:val="9"/>
                <w:szCs w:val="9"/>
                <w:b w:val="1"/>
                <w:bCs w:val="1"/>
                <w:i w:val="1"/>
                <w:iCs w:val="1"/>
                <w:color w:val="auto"/>
              </w:rPr>
              <w:t>®</w:t>
            </w:r>
          </w:p>
        </w:tc>
        <w:tc>
          <w:tcPr>
            <w:tcW w:w="6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Joist, Beam and Rim tape is a self-adhesive butyl tape that protects wooden deck</w:t>
            </w:r>
          </w:p>
        </w:tc>
      </w:tr>
      <w:tr>
        <w:trPr>
          <w:trHeight w:val="216"/>
        </w:trPr>
        <w:tc>
          <w:tcPr>
            <w:tcW w:w="29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Soffit Light, and 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Seal</w:t>
            </w:r>
            <w:r>
              <w:rPr>
                <w:rFonts w:ascii="Times New Roman" w:cs="Times New Roman" w:eastAsia="Times New Roman" w:hAnsi="Times New Roman"/>
                <w:sz w:val="9"/>
                <w:szCs w:val="9"/>
                <w:b w:val="1"/>
                <w:bCs w:val="1"/>
                <w:i w:val="1"/>
                <w:iCs w:val="1"/>
                <w:color w:val="auto"/>
              </w:rPr>
              <w:t>™</w:t>
            </w:r>
          </w:p>
        </w:tc>
        <w:tc>
          <w:tcPr>
            <w:tcW w:w="6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framing/substructure elements. Trex RainEscape Soffit Light is a plug-and-play LED</w:t>
            </w:r>
          </w:p>
        </w:tc>
      </w:tr>
      <w:tr>
        <w:trPr>
          <w:trHeight w:val="220"/>
        </w:trPr>
        <w:tc>
          <w:tcPr>
            <w:tcW w:w="29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Ledger Flashing Tape</w:t>
            </w:r>
          </w:p>
        </w:tc>
        <w:tc>
          <w:tcPr>
            <w:tcW w:w="6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Soffit light that is installed in the under-deck ceiling of a two-story deck. Trex Seal</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Ledger Flashing tape is butyl flashing tape with an aluminum liner.</w:t>
            </w:r>
          </w:p>
        </w:tc>
      </w:tr>
      <w:tr>
        <w:trPr>
          <w:trHeight w:val="135"/>
        </w:trPr>
        <w:tc>
          <w:tcPr>
            <w:tcW w:w="2960" w:type="dxa"/>
            <w:vAlign w:val="bottom"/>
            <w:tcBorders>
              <w:left w:val="single" w:sz="8" w:color="auto"/>
              <w:bottom w:val="single" w:sz="8" w:color="auto"/>
              <w:right w:val="single" w:sz="8" w:color="auto"/>
            </w:tcBorders>
          </w:tcPr>
          <w:p>
            <w:pPr>
              <w:spacing w:after="0"/>
              <w:rPr>
                <w:sz w:val="11"/>
                <w:szCs w:val="11"/>
                <w:color w:val="auto"/>
              </w:rPr>
            </w:pPr>
          </w:p>
        </w:tc>
        <w:tc>
          <w:tcPr>
            <w:tcW w:w="6580" w:type="dxa"/>
            <w:vAlign w:val="bottom"/>
            <w:tcBorders>
              <w:bottom w:val="single" w:sz="8" w:color="auto"/>
              <w:right w:val="single" w:sz="8" w:color="auto"/>
            </w:tcBorders>
          </w:tcPr>
          <w:p>
            <w:pPr>
              <w:spacing w:after="0"/>
              <w:rPr>
                <w:sz w:val="11"/>
                <w:szCs w:val="11"/>
                <w:color w:val="auto"/>
              </w:rPr>
            </w:pPr>
          </w:p>
        </w:tc>
      </w:tr>
      <w:tr>
        <w:trPr>
          <w:trHeight w:val="191"/>
        </w:trPr>
        <w:tc>
          <w:tcPr>
            <w:tcW w:w="2960" w:type="dxa"/>
            <w:vAlign w:val="bottom"/>
            <w:tcBorders>
              <w:left w:val="single" w:sz="8" w:color="auto"/>
              <w:right w:val="single" w:sz="8" w:color="auto"/>
            </w:tcBorders>
            <w:shd w:val="clear" w:color="auto" w:fill="CCCCCC"/>
          </w:tcPr>
          <w:p>
            <w:pPr>
              <w:ind w:left="28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Pergola</w:t>
            </w:r>
          </w:p>
        </w:tc>
        <w:tc>
          <w:tcPr>
            <w:tcW w:w="6580" w:type="dxa"/>
            <w:vAlign w:val="bottom"/>
            <w:tcBorders>
              <w:right w:val="single" w:sz="8" w:color="auto"/>
            </w:tcBorders>
            <w:shd w:val="clear" w:color="auto" w:fill="CCCCCC"/>
          </w:tcPr>
          <w:p>
            <w:pPr>
              <w:ind w:left="120"/>
              <w:spacing w:after="0" w:line="191" w:lineRule="exact"/>
              <w:rPr>
                <w:sz w:val="20"/>
                <w:szCs w:val="20"/>
                <w:color w:val="auto"/>
              </w:rPr>
            </w:pPr>
            <w:r>
              <w:rPr>
                <w:rFonts w:ascii="Times New Roman" w:cs="Times New Roman" w:eastAsia="Times New Roman" w:hAnsi="Times New Roman"/>
                <w:sz w:val="18"/>
                <w:szCs w:val="18"/>
                <w:color w:val="auto"/>
              </w:rPr>
              <w:t>Pergolas made from low maintenance cellular PVC and all-aluminum product,</w:t>
            </w:r>
          </w:p>
        </w:tc>
      </w:tr>
      <w:tr>
        <w:trPr>
          <w:trHeight w:val="234"/>
        </w:trPr>
        <w:tc>
          <w:tcPr>
            <w:tcW w:w="2960" w:type="dxa"/>
            <w:vAlign w:val="bottom"/>
            <w:tcBorders>
              <w:left w:val="single" w:sz="8" w:color="auto"/>
              <w:right w:val="single" w:sz="8" w:color="auto"/>
            </w:tcBorders>
            <w:shd w:val="clear" w:color="auto" w:fill="CCCCCC"/>
          </w:tcPr>
          <w:p>
            <w:pPr>
              <w:spacing w:after="0"/>
              <w:rPr>
                <w:sz w:val="20"/>
                <w:szCs w:val="20"/>
                <w:color w:val="auto"/>
              </w:rPr>
            </w:pPr>
          </w:p>
        </w:tc>
        <w:tc>
          <w:tcPr>
            <w:tcW w:w="6580" w:type="dxa"/>
            <w:vAlign w:val="bottom"/>
            <w:tcBorders>
              <w:right w:val="single" w:sz="8" w:color="auto"/>
            </w:tcBorders>
            <w:shd w:val="clear" w:color="auto" w:fill="CCCCCC"/>
          </w:tcPr>
          <w:p>
            <w:pPr>
              <w:ind w:left="120"/>
              <w:spacing w:after="0"/>
              <w:rPr>
                <w:sz w:val="20"/>
                <w:szCs w:val="20"/>
                <w:color w:val="auto"/>
              </w:rPr>
            </w:pPr>
            <w:r>
              <w:rPr>
                <w:rFonts w:ascii="Times New Roman" w:cs="Times New Roman" w:eastAsia="Times New Roman" w:hAnsi="Times New Roman"/>
                <w:sz w:val="18"/>
                <w:szCs w:val="18"/>
                <w:color w:val="auto"/>
              </w:rPr>
              <w:t>manufactured by Home &amp; Leisure, Inc. dba Structureworks Fabrication.</w:t>
            </w:r>
          </w:p>
        </w:tc>
      </w:tr>
      <w:tr>
        <w:trPr>
          <w:trHeight w:val="135"/>
        </w:trPr>
        <w:tc>
          <w:tcPr>
            <w:tcW w:w="296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658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232"/>
        </w:trPr>
        <w:tc>
          <w:tcPr>
            <w:tcW w:w="29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Lattice</w:t>
            </w:r>
          </w:p>
        </w:tc>
        <w:tc>
          <w:tcPr>
            <w:tcW w:w="6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Outdoor lattice boards manufactured and sold by Structureworks Fabrication.</w:t>
            </w:r>
          </w:p>
        </w:tc>
      </w:tr>
      <w:tr>
        <w:trPr>
          <w:trHeight w:val="113"/>
        </w:trPr>
        <w:tc>
          <w:tcPr>
            <w:tcW w:w="2960" w:type="dxa"/>
            <w:vAlign w:val="bottom"/>
            <w:tcBorders>
              <w:left w:val="single" w:sz="8" w:color="auto"/>
              <w:bottom w:val="single" w:sz="8" w:color="auto"/>
              <w:right w:val="single" w:sz="8" w:color="auto"/>
            </w:tcBorders>
          </w:tcPr>
          <w:p>
            <w:pPr>
              <w:spacing w:after="0"/>
              <w:rPr>
                <w:sz w:val="9"/>
                <w:szCs w:val="9"/>
                <w:color w:val="auto"/>
              </w:rPr>
            </w:pPr>
          </w:p>
        </w:tc>
        <w:tc>
          <w:tcPr>
            <w:tcW w:w="6580" w:type="dxa"/>
            <w:vAlign w:val="bottom"/>
            <w:tcBorders>
              <w:bottom w:val="single" w:sz="8" w:color="auto"/>
              <w:right w:val="single" w:sz="8" w:color="auto"/>
            </w:tcBorders>
          </w:tcPr>
          <w:p>
            <w:pPr>
              <w:spacing w:after="0"/>
              <w:rPr>
                <w:sz w:val="9"/>
                <w:szCs w:val="9"/>
                <w:color w:val="auto"/>
              </w:rPr>
            </w:pPr>
          </w:p>
        </w:tc>
      </w:tr>
      <w:tr>
        <w:trPr>
          <w:trHeight w:val="191"/>
        </w:trPr>
        <w:tc>
          <w:tcPr>
            <w:tcW w:w="2960" w:type="dxa"/>
            <w:vAlign w:val="bottom"/>
            <w:tcBorders>
              <w:left w:val="single" w:sz="8" w:color="auto"/>
              <w:right w:val="single" w:sz="8" w:color="auto"/>
            </w:tcBorders>
            <w:shd w:val="clear" w:color="auto" w:fill="CCCCCC"/>
          </w:tcPr>
          <w:p>
            <w:pPr>
              <w:ind w:left="28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Cornhole</w:t>
            </w:r>
          </w:p>
        </w:tc>
        <w:tc>
          <w:tcPr>
            <w:tcW w:w="6580" w:type="dxa"/>
            <w:vAlign w:val="bottom"/>
            <w:tcBorders>
              <w:right w:val="single" w:sz="8" w:color="auto"/>
            </w:tcBorders>
            <w:shd w:val="clear" w:color="auto" w:fill="CCCCCC"/>
          </w:tcPr>
          <w:p>
            <w:pPr>
              <w:ind w:left="120"/>
              <w:spacing w:after="0" w:line="191" w:lineRule="exact"/>
              <w:rPr>
                <w:sz w:val="20"/>
                <w:szCs w:val="20"/>
                <w:color w:val="auto"/>
              </w:rPr>
            </w:pPr>
            <w:r>
              <w:rPr>
                <w:rFonts w:ascii="Times New Roman" w:cs="Times New Roman" w:eastAsia="Times New Roman" w:hAnsi="Times New Roman"/>
                <w:sz w:val="18"/>
                <w:szCs w:val="18"/>
                <w:color w:val="auto"/>
              </w:rPr>
              <w:t>Cornhole boards manufactured and sold by Johnson Enterprises, LLC. under a</w:t>
            </w:r>
          </w:p>
        </w:tc>
      </w:tr>
      <w:tr>
        <w:trPr>
          <w:trHeight w:val="234"/>
        </w:trPr>
        <w:tc>
          <w:tcPr>
            <w:tcW w:w="2960" w:type="dxa"/>
            <w:vAlign w:val="bottom"/>
            <w:tcBorders>
              <w:left w:val="single" w:sz="8" w:color="auto"/>
              <w:right w:val="single" w:sz="8" w:color="auto"/>
            </w:tcBorders>
            <w:shd w:val="clear" w:color="auto" w:fill="CCCCCC"/>
          </w:tcPr>
          <w:p>
            <w:pPr>
              <w:spacing w:after="0"/>
              <w:rPr>
                <w:sz w:val="20"/>
                <w:szCs w:val="20"/>
                <w:color w:val="auto"/>
              </w:rPr>
            </w:pPr>
          </w:p>
        </w:tc>
        <w:tc>
          <w:tcPr>
            <w:tcW w:w="6580" w:type="dxa"/>
            <w:vAlign w:val="bottom"/>
            <w:tcBorders>
              <w:right w:val="single" w:sz="8" w:color="auto"/>
            </w:tcBorders>
            <w:shd w:val="clear" w:color="auto" w:fill="CCCCCC"/>
          </w:tcPr>
          <w:p>
            <w:pPr>
              <w:ind w:left="120"/>
              <w:spacing w:after="0"/>
              <w:rPr>
                <w:sz w:val="20"/>
                <w:szCs w:val="20"/>
                <w:color w:val="auto"/>
              </w:rPr>
            </w:pPr>
            <w:r>
              <w:rPr>
                <w:rFonts w:ascii="Times New Roman" w:cs="Times New Roman" w:eastAsia="Times New Roman" w:hAnsi="Times New Roman"/>
                <w:sz w:val="18"/>
                <w:szCs w:val="18"/>
                <w:color w:val="auto"/>
              </w:rPr>
              <w:t>Trademark License Agreements with Trex Company, Inc.</w:t>
            </w:r>
          </w:p>
        </w:tc>
      </w:tr>
      <w:tr>
        <w:trPr>
          <w:trHeight w:val="135"/>
        </w:trPr>
        <w:tc>
          <w:tcPr>
            <w:tcW w:w="296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658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191"/>
        </w:trPr>
        <w:tc>
          <w:tcPr>
            <w:tcW w:w="2960" w:type="dxa"/>
            <w:vAlign w:val="bottom"/>
            <w:tcBorders>
              <w:left w:val="single" w:sz="8" w:color="auto"/>
              <w:right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Blade</w:t>
            </w:r>
          </w:p>
        </w:tc>
        <w:tc>
          <w:tcPr>
            <w:tcW w:w="658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 specialty saw blade for wood-alternative composite decking manufactured and sold</w:t>
            </w:r>
          </w:p>
        </w:tc>
      </w:tr>
      <w:tr>
        <w:trPr>
          <w:trHeight w:val="234"/>
        </w:trPr>
        <w:tc>
          <w:tcPr>
            <w:tcW w:w="2960" w:type="dxa"/>
            <w:vAlign w:val="bottom"/>
            <w:tcBorders>
              <w:left w:val="single" w:sz="8" w:color="auto"/>
              <w:right w:val="single" w:sz="8" w:color="auto"/>
            </w:tcBorders>
          </w:tcPr>
          <w:p>
            <w:pPr>
              <w:spacing w:after="0"/>
              <w:rPr>
                <w:sz w:val="20"/>
                <w:szCs w:val="20"/>
                <w:color w:val="auto"/>
              </w:rPr>
            </w:pPr>
          </w:p>
        </w:tc>
        <w:tc>
          <w:tcPr>
            <w:tcW w:w="6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by Freud America, Inc.</w:t>
            </w:r>
          </w:p>
        </w:tc>
      </w:tr>
      <w:tr>
        <w:trPr>
          <w:trHeight w:val="135"/>
        </w:trPr>
        <w:tc>
          <w:tcPr>
            <w:tcW w:w="2960" w:type="dxa"/>
            <w:vAlign w:val="bottom"/>
            <w:tcBorders>
              <w:left w:val="single" w:sz="8" w:color="auto"/>
              <w:bottom w:val="single" w:sz="8" w:color="auto"/>
              <w:right w:val="single" w:sz="8" w:color="auto"/>
            </w:tcBorders>
          </w:tcPr>
          <w:p>
            <w:pPr>
              <w:spacing w:after="0"/>
              <w:rPr>
                <w:sz w:val="11"/>
                <w:szCs w:val="11"/>
                <w:color w:val="auto"/>
              </w:rPr>
            </w:pPr>
          </w:p>
        </w:tc>
        <w:tc>
          <w:tcPr>
            <w:tcW w:w="6580" w:type="dxa"/>
            <w:vAlign w:val="bottom"/>
            <w:tcBorders>
              <w:bottom w:val="single" w:sz="8" w:color="auto"/>
              <w:right w:val="single" w:sz="8" w:color="auto"/>
            </w:tcBorders>
          </w:tcPr>
          <w:p>
            <w:pPr>
              <w:spacing w:after="0"/>
              <w:rPr>
                <w:sz w:val="11"/>
                <w:szCs w:val="11"/>
                <w:color w:val="auto"/>
              </w:rPr>
            </w:pPr>
          </w:p>
        </w:tc>
      </w:tr>
      <w:tr>
        <w:trPr>
          <w:trHeight w:val="191"/>
        </w:trPr>
        <w:tc>
          <w:tcPr>
            <w:tcW w:w="2960" w:type="dxa"/>
            <w:vAlign w:val="bottom"/>
            <w:tcBorders>
              <w:left w:val="single" w:sz="8" w:color="auto"/>
              <w:right w:val="single" w:sz="8" w:color="auto"/>
            </w:tcBorders>
            <w:shd w:val="clear" w:color="auto" w:fill="CCCCCC"/>
          </w:tcPr>
          <w:p>
            <w:pPr>
              <w:ind w:left="280"/>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Spiral Stairs</w:t>
            </w:r>
          </w:p>
        </w:tc>
        <w:tc>
          <w:tcPr>
            <w:tcW w:w="6580" w:type="dxa"/>
            <w:vAlign w:val="bottom"/>
            <w:tcBorders>
              <w:right w:val="single" w:sz="8" w:color="auto"/>
            </w:tcBorders>
            <w:shd w:val="clear" w:color="auto" w:fill="CCCCCC"/>
          </w:tcPr>
          <w:p>
            <w:pPr>
              <w:ind w:left="120"/>
              <w:spacing w:after="0" w:line="191" w:lineRule="exact"/>
              <w:rPr>
                <w:sz w:val="20"/>
                <w:szCs w:val="20"/>
                <w:color w:val="auto"/>
              </w:rPr>
            </w:pPr>
            <w:r>
              <w:rPr>
                <w:rFonts w:ascii="Times New Roman" w:cs="Times New Roman" w:eastAsia="Times New Roman" w:hAnsi="Times New Roman"/>
                <w:sz w:val="18"/>
                <w:szCs w:val="18"/>
                <w:color w:val="auto"/>
              </w:rPr>
              <w:t>A staircase alternative for use with all deck substructures manufactured and sold by SS</w:t>
            </w:r>
          </w:p>
        </w:tc>
      </w:tr>
      <w:tr>
        <w:trPr>
          <w:trHeight w:val="234"/>
        </w:trPr>
        <w:tc>
          <w:tcPr>
            <w:tcW w:w="2960" w:type="dxa"/>
            <w:vAlign w:val="bottom"/>
            <w:tcBorders>
              <w:left w:val="single" w:sz="8" w:color="auto"/>
              <w:right w:val="single" w:sz="8" w:color="auto"/>
            </w:tcBorders>
            <w:shd w:val="clear" w:color="auto" w:fill="CCCCCC"/>
          </w:tcPr>
          <w:p>
            <w:pPr>
              <w:spacing w:after="0"/>
              <w:rPr>
                <w:sz w:val="20"/>
                <w:szCs w:val="20"/>
                <w:color w:val="auto"/>
              </w:rPr>
            </w:pPr>
          </w:p>
        </w:tc>
        <w:tc>
          <w:tcPr>
            <w:tcW w:w="6580" w:type="dxa"/>
            <w:vAlign w:val="bottom"/>
            <w:tcBorders>
              <w:right w:val="single" w:sz="8" w:color="auto"/>
            </w:tcBorders>
            <w:shd w:val="clear" w:color="auto" w:fill="CCCCCC"/>
          </w:tcPr>
          <w:p>
            <w:pPr>
              <w:ind w:left="120"/>
              <w:spacing w:after="0"/>
              <w:rPr>
                <w:sz w:val="20"/>
                <w:szCs w:val="20"/>
                <w:color w:val="auto"/>
              </w:rPr>
            </w:pPr>
            <w:r>
              <w:rPr>
                <w:rFonts w:ascii="Times New Roman" w:cs="Times New Roman" w:eastAsia="Times New Roman" w:hAnsi="Times New Roman"/>
                <w:sz w:val="18"/>
                <w:szCs w:val="18"/>
                <w:color w:val="auto"/>
              </w:rPr>
              <w:t>Industries dba Paragon Stairs.</w:t>
            </w:r>
          </w:p>
        </w:tc>
      </w:tr>
      <w:tr>
        <w:trPr>
          <w:trHeight w:val="135"/>
        </w:trPr>
        <w:tc>
          <w:tcPr>
            <w:tcW w:w="2960" w:type="dxa"/>
            <w:vAlign w:val="bottom"/>
            <w:tcBorders>
              <w:left w:val="single" w:sz="8" w:color="auto"/>
              <w:bottom w:val="single" w:sz="8" w:color="auto"/>
              <w:right w:val="single" w:sz="8" w:color="auto"/>
            </w:tcBorders>
            <w:shd w:val="clear" w:color="auto" w:fill="CCCCCC"/>
          </w:tcPr>
          <w:p>
            <w:pPr>
              <w:spacing w:after="0"/>
              <w:rPr>
                <w:sz w:val="11"/>
                <w:szCs w:val="11"/>
                <w:color w:val="auto"/>
              </w:rPr>
            </w:pPr>
          </w:p>
        </w:tc>
        <w:tc>
          <w:tcPr>
            <w:tcW w:w="6580" w:type="dxa"/>
            <w:vAlign w:val="bottom"/>
            <w:tcBorders>
              <w:bottom w:val="single" w:sz="8" w:color="auto"/>
              <w:right w:val="single" w:sz="8" w:color="auto"/>
            </w:tcBorders>
            <w:shd w:val="clear" w:color="auto" w:fill="CCCCCC"/>
          </w:tcPr>
          <w:p>
            <w:pPr>
              <w:spacing w:after="0"/>
              <w:rPr>
                <w:sz w:val="11"/>
                <w:szCs w:val="11"/>
                <w:color w:val="auto"/>
              </w:rPr>
            </w:pPr>
          </w:p>
        </w:tc>
      </w:tr>
      <w:tr>
        <w:trPr>
          <w:trHeight w:val="232"/>
        </w:trPr>
        <w:tc>
          <w:tcPr>
            <w:tcW w:w="296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Trex</w:t>
            </w:r>
            <w:r>
              <w:rPr>
                <w:rFonts w:ascii="Times New Roman" w:cs="Times New Roman" w:eastAsia="Times New Roman" w:hAnsi="Times New Roman"/>
                <w:sz w:val="9"/>
                <w:szCs w:val="9"/>
                <w:b w:val="1"/>
                <w:bCs w:val="1"/>
                <w:i w:val="1"/>
                <w:iCs w:val="1"/>
                <w:color w:val="auto"/>
              </w:rPr>
              <w:t>®</w:t>
            </w:r>
            <w:r>
              <w:rPr>
                <w:rFonts w:ascii="Times New Roman" w:cs="Times New Roman" w:eastAsia="Times New Roman" w:hAnsi="Times New Roman"/>
                <w:sz w:val="18"/>
                <w:szCs w:val="18"/>
                <w:b w:val="1"/>
                <w:bCs w:val="1"/>
                <w:i w:val="1"/>
                <w:iCs w:val="1"/>
                <w:color w:val="auto"/>
              </w:rPr>
              <w:t xml:space="preserve"> Outdoor Kitchens</w:t>
            </w:r>
          </w:p>
        </w:tc>
        <w:tc>
          <w:tcPr>
            <w:tcW w:w="6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Outdoor kitchen cabinetry manufactured and sold by Danver Outdoor Kitchens.</w:t>
            </w:r>
          </w:p>
        </w:tc>
      </w:tr>
      <w:tr>
        <w:trPr>
          <w:trHeight w:val="113"/>
        </w:trPr>
        <w:tc>
          <w:tcPr>
            <w:tcW w:w="2960" w:type="dxa"/>
            <w:vAlign w:val="bottom"/>
            <w:tcBorders>
              <w:left w:val="single" w:sz="8" w:color="auto"/>
              <w:bottom w:val="single" w:sz="8" w:color="auto"/>
              <w:right w:val="single" w:sz="8" w:color="auto"/>
            </w:tcBorders>
          </w:tcPr>
          <w:p>
            <w:pPr>
              <w:spacing w:after="0"/>
              <w:rPr>
                <w:sz w:val="9"/>
                <w:szCs w:val="9"/>
                <w:color w:val="auto"/>
              </w:rPr>
            </w:pPr>
          </w:p>
        </w:tc>
        <w:tc>
          <w:tcPr>
            <w:tcW w:w="6580" w:type="dxa"/>
            <w:vAlign w:val="bottom"/>
            <w:tcBorders>
              <w:bottom w:val="single" w:sz="8" w:color="auto"/>
              <w:right w:val="single" w:sz="8" w:color="auto"/>
            </w:tcBorders>
          </w:tcPr>
          <w:p>
            <w:pPr>
              <w:spacing w:after="0"/>
              <w:rPr>
                <w:sz w:val="9"/>
                <w:szCs w:val="9"/>
                <w:color w:val="auto"/>
              </w:rPr>
            </w:pPr>
          </w:p>
        </w:tc>
      </w:tr>
    </w:tbl>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HIGHLIGHTS AND FINANCIAL PERFORMANCE</w:t>
      </w:r>
    </w:p>
    <w:p>
      <w:pPr>
        <w:spacing w:after="0" w:line="2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i w:val="1"/>
          <w:iCs w:val="1"/>
          <w:color w:val="auto"/>
        </w:rPr>
        <w:t>Highlights:</w:t>
      </w:r>
    </w:p>
    <w:p>
      <w:pPr>
        <w:spacing w:after="0" w:line="83" w:lineRule="exact"/>
        <w:rPr>
          <w:sz w:val="20"/>
          <w:szCs w:val="20"/>
          <w:color w:val="auto"/>
        </w:rPr>
      </w:pPr>
    </w:p>
    <w:p>
      <w:pPr>
        <w:ind w:left="1960" w:right="800" w:hanging="324"/>
        <w:spacing w:after="0" w:line="234"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Trex Named America's Most Trusted</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Outdoor Decking </w:t>
      </w:r>
      <w:r>
        <w:rPr>
          <w:rFonts w:ascii="Times New Roman" w:cs="Times New Roman" w:eastAsia="Times New Roman" w:hAnsi="Times New Roman"/>
          <w:sz w:val="18"/>
          <w:szCs w:val="18"/>
          <w:color w:val="auto"/>
        </w:rPr>
        <w:t>for fifth consecutive year, according to a nationwide study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Lifestory Research.</w:t>
      </w:r>
    </w:p>
    <w:p>
      <w:pPr>
        <w:spacing w:after="0" w:line="55" w:lineRule="exact"/>
        <w:rPr>
          <w:rFonts w:ascii="Times New Roman" w:cs="Times New Roman" w:eastAsia="Times New Roman" w:hAnsi="Times New Roman"/>
          <w:sz w:val="18"/>
          <w:szCs w:val="18"/>
          <w:color w:val="auto"/>
        </w:rPr>
      </w:pPr>
    </w:p>
    <w:p>
      <w:pPr>
        <w:ind w:left="1960" w:right="820" w:hanging="324"/>
        <w:spacing w:after="0" w:line="245"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Trex Expands Mid-Tier Composite Decking Options with New Performance Engineered</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Boards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Trex Select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8"/>
          <w:szCs w:val="18"/>
          <w:color w:val="auto"/>
        </w:rPr>
        <w:t xml:space="preserve"> decking line include brightened colors, updated design aesthetics, and Trex's proprietary SunComfortable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w:t>
      </w:r>
    </w:p>
    <w:p>
      <w:pPr>
        <w:spacing w:after="0" w:line="2" w:lineRule="exact"/>
        <w:rPr>
          <w:rFonts w:ascii="Times New Roman" w:cs="Times New Roman" w:eastAsia="Times New Roman" w:hAnsi="Times New Roman"/>
          <w:sz w:val="18"/>
          <w:szCs w:val="18"/>
          <w:color w:val="auto"/>
        </w:rPr>
      </w:pPr>
    </w:p>
    <w:p>
      <w:pPr>
        <w:ind w:left="1960" w:right="1280" w:hanging="324"/>
        <w:spacing w:after="0" w:line="282"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Ranked Among Barron's 100 Most Sustainable Companies for 2025. </w:t>
      </w:r>
      <w:r>
        <w:rPr>
          <w:rFonts w:ascii="Times New Roman" w:cs="Times New Roman" w:eastAsia="Times New Roman" w:hAnsi="Times New Roman"/>
          <w:sz w:val="18"/>
          <w:szCs w:val="18"/>
          <w:color w:val="auto"/>
        </w:rPr>
        <w:t>Trex moved up 20 spots in its 2nd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appearance on the Barron's List of 100 Most Sustainable Companies for 2025.</w:t>
      </w:r>
    </w:p>
    <w:p>
      <w:pPr>
        <w:spacing w:after="0" w:line="11" w:lineRule="exact"/>
        <w:rPr>
          <w:rFonts w:ascii="Times New Roman" w:cs="Times New Roman" w:eastAsia="Times New Roman" w:hAnsi="Times New Roman"/>
          <w:sz w:val="18"/>
          <w:szCs w:val="18"/>
          <w:color w:val="auto"/>
        </w:rPr>
      </w:pPr>
    </w:p>
    <w:p>
      <w:pPr>
        <w:ind w:left="1960" w:right="980" w:hanging="324"/>
        <w:spacing w:after="0" w:line="284"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Releases 2025 Outdoor Living Forecast. </w:t>
      </w:r>
      <w:r>
        <w:rPr>
          <w:rFonts w:ascii="Times New Roman" w:cs="Times New Roman" w:eastAsia="Times New Roman" w:hAnsi="Times New Roman"/>
          <w:sz w:val="18"/>
          <w:szCs w:val="18"/>
          <w:color w:val="auto"/>
        </w:rPr>
        <w:t>In February 2025, Trex released its 2025 Outdoor Living Forecast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highlighting five outdoor trends it expects to shape backyards in the coming year.</w:t>
      </w:r>
    </w:p>
    <w:p>
      <w:pPr>
        <w:spacing w:after="0" w:line="18" w:lineRule="exact"/>
        <w:rPr>
          <w:rFonts w:ascii="Times New Roman" w:cs="Times New Roman" w:eastAsia="Times New Roman" w:hAnsi="Times New Roman"/>
          <w:sz w:val="18"/>
          <w:szCs w:val="18"/>
          <w:color w:val="auto"/>
        </w:rPr>
      </w:pPr>
    </w:p>
    <w:p>
      <w:pPr>
        <w:ind w:left="1960" w:right="780" w:hanging="324"/>
        <w:spacing w:after="0" w:line="233"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Earned Top Honors at Environment + Energy Leader Awards. </w:t>
      </w:r>
      <w:r>
        <w:rPr>
          <w:rFonts w:ascii="Times New Roman" w:cs="Times New Roman" w:eastAsia="Times New Roman" w:hAnsi="Times New Roman"/>
          <w:sz w:val="18"/>
          <w:szCs w:val="18"/>
          <w:color w:val="auto"/>
        </w:rPr>
        <w:t>Trex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Composite Decking was named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Year and Judge's Choice Award as the top-scoring entry in the Consumer + Residential category.</w:t>
      </w:r>
    </w:p>
    <w:p>
      <w:pPr>
        <w:spacing w:after="0" w:line="71" w:lineRule="exact"/>
        <w:rPr>
          <w:rFonts w:ascii="Times New Roman" w:cs="Times New Roman" w:eastAsia="Times New Roman" w:hAnsi="Times New Roman"/>
          <w:sz w:val="18"/>
          <w:szCs w:val="18"/>
          <w:color w:val="auto"/>
        </w:rPr>
      </w:pPr>
    </w:p>
    <w:p>
      <w:pPr>
        <w:ind w:left="1960" w:right="1200" w:hanging="324"/>
        <w:spacing w:after="0" w:line="233" w:lineRule="auto"/>
        <w:tabs>
          <w:tab w:leader="none" w:pos="1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Trex named Green Builder Media's Sustainable Brand Leader </w:t>
      </w:r>
      <w:r>
        <w:rPr>
          <w:rFonts w:ascii="Times New Roman" w:cs="Times New Roman" w:eastAsia="Times New Roman" w:hAnsi="Times New Roman"/>
          <w:sz w:val="18"/>
          <w:szCs w:val="18"/>
          <w:color w:val="auto"/>
        </w:rPr>
        <w:t>in the decking category. Trex Select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by Green Builder editors as one of the 50 most sustainable products of the year.</w:t>
      </w:r>
    </w:p>
    <w:p>
      <w:pPr>
        <w:spacing w:after="0" w:line="15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i w:val="1"/>
          <w:iCs w:val="1"/>
          <w:color w:val="auto"/>
        </w:rPr>
        <w:t>Financial performance. The following table presents highlights of our financial performance for the quarter and year-to-date: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6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3"/>
        </w:trPr>
        <w:tc>
          <w:tcPr>
            <w:tcW w:w="1140" w:type="dxa"/>
            <w:vAlign w:val="bottom"/>
          </w:tcPr>
          <w:p>
            <w:pPr>
              <w:spacing w:after="0"/>
              <w:rPr>
                <w:sz w:val="15"/>
                <w:szCs w:val="15"/>
                <w:color w:val="auto"/>
              </w:rPr>
            </w:pPr>
          </w:p>
        </w:tc>
        <w:tc>
          <w:tcPr>
            <w:tcW w:w="3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r>
      <w:tr>
        <w:trPr>
          <w:trHeight w:val="142"/>
        </w:trPr>
        <w:tc>
          <w:tcPr>
            <w:tcW w:w="1140" w:type="dxa"/>
            <w:vAlign w:val="bottom"/>
          </w:tcPr>
          <w:p>
            <w:pPr>
              <w:spacing w:after="0"/>
              <w:rPr>
                <w:sz w:val="12"/>
                <w:szCs w:val="12"/>
                <w:color w:val="auto"/>
              </w:rPr>
            </w:pPr>
          </w:p>
        </w:tc>
        <w:tc>
          <w:tcPr>
            <w:tcW w:w="32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14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 Change</w:t>
            </w:r>
          </w:p>
        </w:tc>
        <w:tc>
          <w:tcPr>
            <w:tcW w:w="1140" w:type="dxa"/>
            <w:vAlign w:val="bottom"/>
          </w:tcPr>
          <w:p>
            <w:pPr>
              <w:spacing w:after="0"/>
              <w:rPr>
                <w:sz w:val="12"/>
                <w:szCs w:val="12"/>
                <w:color w:val="auto"/>
              </w:rPr>
            </w:pPr>
          </w:p>
        </w:tc>
      </w:tr>
      <w:tr>
        <w:trPr>
          <w:trHeight w:val="142"/>
        </w:trPr>
        <w:tc>
          <w:tcPr>
            <w:tcW w:w="1140" w:type="dxa"/>
            <w:vAlign w:val="bottom"/>
          </w:tcPr>
          <w:p>
            <w:pPr>
              <w:spacing w:after="0"/>
              <w:rPr>
                <w:sz w:val="12"/>
                <w:szCs w:val="12"/>
                <w:color w:val="auto"/>
              </w:rPr>
            </w:pPr>
          </w:p>
        </w:tc>
        <w:tc>
          <w:tcPr>
            <w:tcW w:w="32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i w:val="1"/>
                <w:iCs w:val="1"/>
                <w:color w:val="auto"/>
              </w:rPr>
              <w:t>($ 000s omitted, except per share data)</w:t>
            </w:r>
          </w:p>
        </w:tc>
        <w:tc>
          <w:tcPr>
            <w:tcW w:w="1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40" w:type="dxa"/>
            <w:vAlign w:val="bottom"/>
          </w:tcPr>
          <w:p>
            <w:pPr>
              <w:spacing w:after="0"/>
              <w:rPr>
                <w:sz w:val="18"/>
                <w:szCs w:val="18"/>
                <w:color w:val="auto"/>
              </w:rPr>
            </w:pPr>
          </w:p>
        </w:tc>
        <w:tc>
          <w:tcPr>
            <w:tcW w:w="32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340" w:type="dxa"/>
            <w:vAlign w:val="bottom"/>
            <w:shd w:val="clear" w:color="auto" w:fill="DBE5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jc w:val="right"/>
              <w:ind w:right="17"/>
              <w:spacing w:after="0"/>
              <w:rPr>
                <w:sz w:val="20"/>
                <w:szCs w:val="20"/>
                <w:color w:val="auto"/>
              </w:rPr>
            </w:pPr>
            <w:r>
              <w:rPr>
                <w:rFonts w:ascii="Times New Roman" w:cs="Times New Roman" w:eastAsia="Times New Roman" w:hAnsi="Times New Roman"/>
                <w:sz w:val="18"/>
                <w:szCs w:val="18"/>
                <w:color w:val="auto"/>
              </w:rPr>
              <w:t>339,993</w:t>
            </w:r>
          </w:p>
        </w:tc>
        <w:tc>
          <w:tcPr>
            <w:tcW w:w="360" w:type="dxa"/>
            <w:vAlign w:val="bottom"/>
            <w:shd w:val="clear" w:color="auto" w:fill="DBE5F1"/>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BE5F1"/>
          </w:tcPr>
          <w:p>
            <w:pPr>
              <w:jc w:val="right"/>
              <w:ind w:right="13"/>
              <w:spacing w:after="0"/>
              <w:rPr>
                <w:sz w:val="20"/>
                <w:szCs w:val="20"/>
                <w:color w:val="auto"/>
              </w:rPr>
            </w:pPr>
            <w:r>
              <w:rPr>
                <w:rFonts w:ascii="Times New Roman" w:cs="Times New Roman" w:eastAsia="Times New Roman" w:hAnsi="Times New Roman"/>
                <w:sz w:val="18"/>
                <w:szCs w:val="18"/>
                <w:color w:val="auto"/>
              </w:rPr>
              <w:t>373,635</w:t>
            </w:r>
          </w:p>
        </w:tc>
        <w:tc>
          <w:tcPr>
            <w:tcW w:w="320" w:type="dxa"/>
            <w:vAlign w:val="bottom"/>
            <w:shd w:val="clear" w:color="auto" w:fill="DBE5F1"/>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ind w:right="33"/>
              <w:spacing w:after="0"/>
              <w:rPr>
                <w:sz w:val="20"/>
                <w:szCs w:val="20"/>
                <w:color w:val="auto"/>
              </w:rPr>
            </w:pPr>
            <w:r>
              <w:rPr>
                <w:rFonts w:ascii="Times New Roman" w:cs="Times New Roman" w:eastAsia="Times New Roman" w:hAnsi="Times New Roman"/>
                <w:sz w:val="18"/>
                <w:szCs w:val="18"/>
                <w:color w:val="auto"/>
              </w:rPr>
              <w:t>(33,642)</w:t>
            </w: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137,731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169,612</w:t>
            </w: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(31,881)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shd w:val="clear" w:color="auto" w:fill="DBE5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jc w:val="right"/>
              <w:ind w:right="17"/>
              <w:spacing w:after="0"/>
              <w:rPr>
                <w:sz w:val="20"/>
                <w:szCs w:val="20"/>
                <w:color w:val="auto"/>
              </w:rPr>
            </w:pPr>
            <w:r>
              <w:rPr>
                <w:rFonts w:ascii="Times New Roman" w:cs="Times New Roman" w:eastAsia="Times New Roman" w:hAnsi="Times New Roman"/>
                <w:sz w:val="18"/>
                <w:szCs w:val="18"/>
                <w:color w:val="auto"/>
              </w:rPr>
              <w:t>60,434</w:t>
            </w:r>
          </w:p>
        </w:tc>
        <w:tc>
          <w:tcPr>
            <w:tcW w:w="360" w:type="dxa"/>
            <w:vAlign w:val="bottom"/>
            <w:shd w:val="clear" w:color="auto" w:fill="DBE5F1"/>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BE5F1"/>
          </w:tcPr>
          <w:p>
            <w:pPr>
              <w:jc w:val="right"/>
              <w:ind w:right="13"/>
              <w:spacing w:after="0"/>
              <w:rPr>
                <w:sz w:val="20"/>
                <w:szCs w:val="20"/>
                <w:color w:val="auto"/>
              </w:rPr>
            </w:pPr>
            <w:r>
              <w:rPr>
                <w:rFonts w:ascii="Times New Roman" w:cs="Times New Roman" w:eastAsia="Times New Roman" w:hAnsi="Times New Roman"/>
                <w:sz w:val="18"/>
                <w:szCs w:val="18"/>
                <w:color w:val="auto"/>
              </w:rPr>
              <w:t>89,070</w:t>
            </w:r>
          </w:p>
        </w:tc>
        <w:tc>
          <w:tcPr>
            <w:tcW w:w="320" w:type="dxa"/>
            <w:vAlign w:val="bottom"/>
            <w:shd w:val="clear" w:color="auto" w:fill="DBE5F1"/>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ind w:right="33"/>
              <w:spacing w:after="0"/>
              <w:rPr>
                <w:sz w:val="20"/>
                <w:szCs w:val="20"/>
                <w:color w:val="auto"/>
              </w:rPr>
            </w:pPr>
            <w:r>
              <w:rPr>
                <w:rFonts w:ascii="Times New Roman" w:cs="Times New Roman" w:eastAsia="Times New Roman" w:hAnsi="Times New Roman"/>
                <w:sz w:val="18"/>
                <w:szCs w:val="18"/>
                <w:color w:val="auto"/>
              </w:rPr>
              <w:t>(28,636)</w:t>
            </w: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95,912</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133,166</w:t>
            </w:r>
          </w:p>
        </w:tc>
        <w:tc>
          <w:tcPr>
            <w:tcW w:w="3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(37,254)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14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28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340" w:type="dxa"/>
            <w:vAlign w:val="bottom"/>
            <w:shd w:val="clear" w:color="auto" w:fill="DBE5F1"/>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jc w:val="right"/>
              <w:ind w:right="17"/>
              <w:spacing w:after="0"/>
              <w:rPr>
                <w:sz w:val="20"/>
                <w:szCs w:val="20"/>
                <w:color w:val="auto"/>
              </w:rPr>
            </w:pPr>
            <w:r>
              <w:rPr>
                <w:rFonts w:ascii="Times New Roman" w:cs="Times New Roman" w:eastAsia="Times New Roman" w:hAnsi="Times New Roman"/>
                <w:sz w:val="18"/>
                <w:szCs w:val="18"/>
                <w:color w:val="auto"/>
              </w:rPr>
              <w:t>0.56</w:t>
            </w:r>
          </w:p>
        </w:tc>
        <w:tc>
          <w:tcPr>
            <w:tcW w:w="360" w:type="dxa"/>
            <w:vAlign w:val="bottom"/>
            <w:shd w:val="clear" w:color="auto" w:fill="DBE5F1"/>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BE5F1"/>
          </w:tcPr>
          <w:p>
            <w:pPr>
              <w:jc w:val="right"/>
              <w:ind w:right="13"/>
              <w:spacing w:after="0"/>
              <w:rPr>
                <w:sz w:val="20"/>
                <w:szCs w:val="20"/>
                <w:color w:val="auto"/>
              </w:rPr>
            </w:pPr>
            <w:r>
              <w:rPr>
                <w:rFonts w:ascii="Times New Roman" w:cs="Times New Roman" w:eastAsia="Times New Roman" w:hAnsi="Times New Roman"/>
                <w:sz w:val="18"/>
                <w:szCs w:val="18"/>
                <w:color w:val="auto"/>
              </w:rPr>
              <w:t>0.82</w:t>
            </w:r>
          </w:p>
        </w:tc>
        <w:tc>
          <w:tcPr>
            <w:tcW w:w="320" w:type="dxa"/>
            <w:vAlign w:val="bottom"/>
            <w:shd w:val="clear" w:color="auto" w:fill="DBE5F1"/>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ind w:right="33"/>
              <w:spacing w:after="0"/>
              <w:rPr>
                <w:sz w:val="20"/>
                <w:szCs w:val="20"/>
                <w:color w:val="auto"/>
              </w:rPr>
            </w:pPr>
            <w:r>
              <w:rPr>
                <w:rFonts w:ascii="Times New Roman" w:cs="Times New Roman" w:eastAsia="Times New Roman" w:hAnsi="Times New Roman"/>
                <w:sz w:val="18"/>
                <w:szCs w:val="18"/>
                <w:color w:val="auto"/>
              </w:rPr>
              <w:t>(0.26)</w:t>
            </w:r>
          </w:p>
        </w:tc>
        <w:tc>
          <w:tcPr>
            <w:tcW w:w="11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140" w:type="dxa"/>
            <w:vAlign w:val="bottom"/>
          </w:tcPr>
          <w:p>
            <w:pPr>
              <w:spacing w:after="0"/>
              <w:rPr>
                <w:sz w:val="18"/>
                <w:szCs w:val="18"/>
                <w:color w:val="auto"/>
              </w:rPr>
            </w:pPr>
          </w:p>
        </w:tc>
      </w:tr>
      <w:tr>
        <w:trPr>
          <w:trHeight w:val="864"/>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5" w:right="439" w:bottom="1440" w:gutter="0" w:footer="0" w:header="0"/>
        </w:sectPr>
      </w:pPr>
    </w:p>
    <w:bookmarkStart w:id="18" w:name="page19"/>
    <w:bookmarkEnd w:id="18"/>
    <w:p>
      <w:pPr>
        <w:ind w:right="140" w:firstLine="992"/>
        <w:spacing w:after="0" w:line="284" w:lineRule="auto"/>
        <w:rPr>
          <w:sz w:val="20"/>
          <w:szCs w:val="20"/>
          <w:color w:val="auto"/>
        </w:rPr>
      </w:pPr>
      <w:r>
        <w:rPr>
          <w:rFonts w:ascii="Times New Roman" w:cs="Times New Roman" w:eastAsia="Times New Roman" w:hAnsi="Times New Roman"/>
          <w:sz w:val="18"/>
          <w:szCs w:val="18"/>
          <w:i w:val="1"/>
          <w:iCs w:val="1"/>
          <w:color w:val="auto"/>
        </w:rPr>
        <w:t>*A reconciliation of Net Income (GAAP) to EBITDA (non-GAAP) is presented on page 19 of this document under “Net Income and Earnings Before Interest, Taxes, Depreciation and Amortization (EBITDA).”</w:t>
      </w:r>
    </w:p>
    <w:p>
      <w:pPr>
        <w:spacing w:after="0" w:line="118" w:lineRule="exact"/>
        <w:rPr>
          <w:sz w:val="20"/>
          <w:szCs w:val="20"/>
          <w:color w:val="auto"/>
        </w:rPr>
      </w:pPr>
    </w:p>
    <w:p>
      <w:pPr>
        <w:ind w:right="8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During the three months ended March 31, 2025, our capital expenditures were $79.5 million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$64.2 million for the Arkansas manufacturing facility, $4.4 million in cost reduction initiatives, and $7.4 million in capacity expansion in our existing facilities and safety, environmental and general support.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7" w:lineRule="exact"/>
        <w:rPr>
          <w:sz w:val="20"/>
          <w:szCs w:val="20"/>
          <w:color w:val="auto"/>
        </w:rPr>
      </w:pPr>
    </w:p>
    <w:p>
      <w:pPr>
        <w:jc w:val="both"/>
        <w:ind w:right="2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Our results of operations are affected by a number of factors, including, but not limited to, the cost to manufacture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 products, cost of raw materials, inflation, interest rates, tariffs, consumer spending and preferences, the impact of any supply chain disruptions, economic conditions, and any adverse effects from global health pandemics and geopolitical conflicts.</w:t>
      </w:r>
    </w:p>
    <w:p>
      <w:pPr>
        <w:spacing w:after="0" w:line="133" w:lineRule="exact"/>
        <w:rPr>
          <w:sz w:val="20"/>
          <w:szCs w:val="20"/>
          <w:color w:val="auto"/>
        </w:rPr>
      </w:pPr>
    </w:p>
    <w:p>
      <w:pPr>
        <w:ind w:right="60" w:firstLine="401"/>
        <w:spacing w:after="0" w:line="254" w:lineRule="auto"/>
        <w:rPr>
          <w:sz w:val="20"/>
          <w:szCs w:val="20"/>
          <w:color w:val="auto"/>
        </w:rPr>
      </w:pPr>
      <w:r>
        <w:rPr>
          <w:rFonts w:ascii="Times New Roman" w:cs="Times New Roman" w:eastAsia="Times New Roman" w:hAnsi="Times New Roman"/>
          <w:sz w:val="18"/>
          <w:szCs w:val="18"/>
          <w:i w:val="1"/>
          <w:iCs w:val="1"/>
          <w:color w:val="auto"/>
        </w:rPr>
        <w:t>Net Sales</w:t>
      </w:r>
      <w:r>
        <w:rPr>
          <w:rFonts w:ascii="Times New Roman" w:cs="Times New Roman" w:eastAsia="Times New Roman" w:hAnsi="Times New Roman"/>
          <w:sz w:val="18"/>
          <w:szCs w:val="18"/>
          <w:color w:val="auto"/>
        </w:rPr>
        <w:t>. Net sales consist of sales, net of discounts. The level of net sales is principally affected by sales volume and the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for Trex products. Trex operating results have historically varied from quarter to quarter. Seasonal, erratic or prolonged adverse weather conditions in certain geographic regions reduce the level of home and commercial improvement and residential and commercial construction and can shift sales of our products to a later period or decrease overall sales in affected locations. As part of our normal business practice and consistent with industry practice, we have historically provided our distributors and dealers of our Trex products incentives to build inventory levels before the start of the prime deck-building season to ensure adequate availability of our product to meet anticipated seasonal consumer demand and to enable production planning. These incentives include payment discounts, favorable payment terms, price discounts, or volume rebates on specified products and other incentives based on increases in purchases as part of specific promotional programs. The timing of our incentive programs can significantly impact sales, receivables and inventory levels during the offering period.</w:t>
      </w:r>
    </w:p>
    <w:p>
      <w:pPr>
        <w:spacing w:after="0" w:line="158" w:lineRule="exact"/>
        <w:rPr>
          <w:sz w:val="20"/>
          <w:szCs w:val="20"/>
          <w:color w:val="auto"/>
        </w:rPr>
      </w:pPr>
    </w:p>
    <w:p>
      <w:pPr>
        <w:ind w:firstLine="4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represents the difference between net sales and cost of sales. Cost of sales consists of raw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direct labor costs, manufacturing costs, subcontract costs and freight. Raw material costs generally include the costs to purchase and transport reclaimed wood fiber, reclaimed polyethylene, pigmentation for coloring our products, and commodities used in the production of railing. Direct labor costs include wages and benefits of personnel engaged in the manufacturing process. Manufacturing costs consist of costs of depreciation, utilities, maintenance supplies and repairs, indirect labor, including wages and benefits, and warehouse and equipment rental activities.</w:t>
      </w:r>
    </w:p>
    <w:p>
      <w:pPr>
        <w:spacing w:after="0" w:line="144"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Less than 5% of our cost of sales is projected to be impacted by tariffs, the majority of tariffs are related to purchases of aluminum and steel used in our railing and fastening products. We have and will further mitigate some of the impact on our cost of sales through higher levels of existing pre-tariff inventory and supplier negotiations.</w:t>
      </w:r>
    </w:p>
    <w:p>
      <w:pPr>
        <w:spacing w:after="0" w:line="133" w:lineRule="exact"/>
        <w:rPr>
          <w:sz w:val="20"/>
          <w:szCs w:val="20"/>
          <w:color w:val="auto"/>
        </w:rPr>
      </w:pPr>
    </w:p>
    <w:p>
      <w:pPr>
        <w:ind w:right="60" w:firstLine="401"/>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The largest component of selling, general and administrative expenses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related costs, which includes salaries, commissions, incentive compensation, and benefits of personnel engaged in sales and marketing, accounting, information technology, corporate operations, research and development, and other business functions. Another component of selling, general and administrative expenses is branding and other sales and marketing costs, which are used to build brand awareness. These costs consist primarily of advertising, merchandising, and other promotional costs. Other general and administrative expenses include professional fees, office occupancy costs attributable to the business functions previously referenced, and consumer relations expenses. As a percentage of net sales, selling, general and administrative expenses may vary from quarter to quarter due, in part, to the seasonality of our business.</w:t>
      </w:r>
    </w:p>
    <w:p>
      <w:pPr>
        <w:spacing w:after="0" w:line="160" w:lineRule="exact"/>
        <w:rPr>
          <w:sz w:val="20"/>
          <w:szCs w:val="20"/>
          <w:color w:val="auto"/>
        </w:rPr>
      </w:pPr>
    </w:p>
    <w:p>
      <w:pPr>
        <w:ind w:right="200" w:firstLine="401"/>
        <w:spacing w:after="0" w:line="282" w:lineRule="auto"/>
        <w:rPr>
          <w:sz w:val="20"/>
          <w:szCs w:val="20"/>
          <w:color w:val="auto"/>
        </w:rPr>
      </w:pPr>
      <w:r>
        <w:rPr>
          <w:rFonts w:ascii="Times New Roman" w:cs="Times New Roman" w:eastAsia="Times New Roman" w:hAnsi="Times New Roman"/>
          <w:sz w:val="18"/>
          <w:szCs w:val="18"/>
          <w:color w:val="auto"/>
        </w:rPr>
        <w:t>Below is the discussion and analysis of our operating results and material changes in our operating results for the three months ended March 31, 2025 (2025 quarter) compared to the three months ended March 31, 2024 (2024 quarter).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The Three Months Ended March 31, 2024</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1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040" w:type="dxa"/>
            <w:vAlign w:val="bottom"/>
            <w:gridSpan w:val="4"/>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5"/>
                <w:szCs w:val="15"/>
                <w:color w:val="auto"/>
              </w:rPr>
            </w:pPr>
          </w:p>
        </w:tc>
        <w:tc>
          <w:tcPr>
            <w:tcW w:w="11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8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0" w:type="dxa"/>
            <w:vAlign w:val="bottom"/>
          </w:tcPr>
          <w:p>
            <w:pPr>
              <w:spacing w:after="0"/>
              <w:rPr>
                <w:sz w:val="12"/>
                <w:szCs w:val="12"/>
                <w:color w:val="auto"/>
              </w:rPr>
            </w:pPr>
          </w:p>
        </w:tc>
        <w:tc>
          <w:tcPr>
            <w:tcW w:w="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80" w:type="dxa"/>
            <w:vAlign w:val="bottom"/>
            <w:shd w:val="clear" w:color="auto" w:fill="DBE5F1"/>
          </w:tcPr>
          <w:p>
            <w:pPr>
              <w:jc w:val="right"/>
              <w:ind w:right="4"/>
              <w:spacing w:after="0"/>
              <w:rPr>
                <w:sz w:val="20"/>
                <w:szCs w:val="20"/>
                <w:color w:val="auto"/>
              </w:rPr>
            </w:pPr>
            <w:r>
              <w:rPr>
                <w:rFonts w:ascii="Times New Roman" w:cs="Times New Roman" w:eastAsia="Times New Roman" w:hAnsi="Times New Roman"/>
                <w:sz w:val="18"/>
                <w:szCs w:val="18"/>
                <w:color w:val="auto"/>
              </w:rPr>
              <w:t>$   339,993</w:t>
            </w:r>
          </w:p>
        </w:tc>
        <w:tc>
          <w:tcPr>
            <w:tcW w:w="28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373,635</w:t>
            </w:r>
          </w:p>
        </w:tc>
        <w:tc>
          <w:tcPr>
            <w:tcW w:w="1040" w:type="dxa"/>
            <w:vAlign w:val="bottom"/>
            <w:gridSpan w:val="2"/>
            <w:shd w:val="clear" w:color="auto" w:fill="DBE5F1"/>
          </w:tcPr>
          <w:p>
            <w:pPr>
              <w:ind w:left="100"/>
              <w:spacing w:after="0"/>
              <w:rPr>
                <w:sz w:val="20"/>
                <w:szCs w:val="20"/>
                <w:color w:val="auto"/>
              </w:rPr>
            </w:pPr>
            <w:r>
              <w:rPr>
                <w:rFonts w:ascii="Times New Roman" w:cs="Times New Roman" w:eastAsia="Times New Roman" w:hAnsi="Times New Roman"/>
                <w:sz w:val="18"/>
                <w:szCs w:val="18"/>
                <w:color w:val="auto"/>
              </w:rPr>
              <w:t>$   (33,642)</w:t>
            </w:r>
          </w:p>
        </w:tc>
        <w:tc>
          <w:tcPr>
            <w:tcW w:w="122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401"/>
        <w:spacing w:after="0" w:line="266" w:lineRule="auto"/>
        <w:rPr>
          <w:sz w:val="20"/>
          <w:szCs w:val="20"/>
          <w:color w:val="auto"/>
        </w:rPr>
      </w:pPr>
      <w:r>
        <w:rPr>
          <w:rFonts w:ascii="Times New Roman" w:cs="Times New Roman" w:eastAsia="Times New Roman" w:hAnsi="Times New Roman"/>
          <w:sz w:val="18"/>
          <w:szCs w:val="18"/>
          <w:color w:val="auto"/>
        </w:rPr>
        <w:t>Net sales decreased by $33.6 million, or 9%, in the 2025 quarter compared to the 2024 quarter. The decrease was substantially due to a decrease in volume. The 2024 quarter included $40 million in channel inventory build which did not reoccur in the 2025 quarter as the result of our revised inventory strategy.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3" w:right="109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3" w:lineRule="exact"/>
        <w:rPr>
          <w:sz w:val="20"/>
          <w:szCs w:val="20"/>
          <w:color w:val="auto"/>
        </w:rPr>
      </w:pPr>
    </w:p>
    <w:tbl>
      <w:tblPr>
        <w:tblLayout w:type="fixed"/>
        <w:tblInd w:w="48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1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80" w:type="dxa"/>
            <w:vAlign w:val="bottom"/>
            <w:vMerge w:val="restart"/>
          </w:tcPr>
          <w:p>
            <w:pPr>
              <w:spacing w:after="0"/>
              <w:rPr>
                <w:sz w:val="15"/>
                <w:szCs w:val="15"/>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vMerge w:val="restart"/>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5"/>
                <w:szCs w:val="15"/>
                <w:color w:val="auto"/>
              </w:rPr>
            </w:pP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vMerge w:val="continue"/>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w:t>
            </w:r>
          </w:p>
        </w:tc>
        <w:tc>
          <w:tcPr>
            <w:tcW w:w="1020" w:type="dxa"/>
            <w:vAlign w:val="bottom"/>
            <w:gridSpan w:val="3"/>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74"/>
              <w:spacing w:after="0"/>
              <w:rPr>
                <w:sz w:val="20"/>
                <w:szCs w:val="20"/>
                <w:color w:val="auto"/>
              </w:rPr>
            </w:pPr>
            <w:r>
              <w:rPr>
                <w:rFonts w:ascii="Times New Roman" w:cs="Times New Roman" w:eastAsia="Times New Roman" w:hAnsi="Times New Roman"/>
                <w:sz w:val="18"/>
                <w:szCs w:val="18"/>
                <w:color w:val="auto"/>
              </w:rPr>
              <w:t>202,262</w:t>
            </w:r>
          </w:p>
        </w:tc>
        <w:tc>
          <w:tcPr>
            <w:tcW w:w="28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96"/>
              <w:spacing w:after="0"/>
              <w:rPr>
                <w:sz w:val="20"/>
                <w:szCs w:val="20"/>
                <w:color w:val="auto"/>
              </w:rPr>
            </w:pPr>
            <w:r>
              <w:rPr>
                <w:rFonts w:ascii="Times New Roman" w:cs="Times New Roman" w:eastAsia="Times New Roman" w:hAnsi="Times New Roman"/>
                <w:sz w:val="18"/>
                <w:szCs w:val="18"/>
                <w:color w:val="auto"/>
              </w:rPr>
              <w:t>204,023</w:t>
            </w:r>
          </w:p>
        </w:tc>
        <w:tc>
          <w:tcPr>
            <w:tcW w:w="320" w:type="dxa"/>
            <w:vAlign w:val="bottom"/>
            <w:gridSpan w:val="2"/>
            <w:shd w:val="clear" w:color="auto" w:fill="DBE5F1"/>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2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total net sales</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74"/>
              <w:spacing w:after="0"/>
              <w:rPr>
                <w:sz w:val="20"/>
                <w:szCs w:val="20"/>
                <w:color w:val="auto"/>
              </w:rPr>
            </w:pPr>
            <w:r>
              <w:rPr>
                <w:rFonts w:ascii="Times New Roman" w:cs="Times New Roman" w:eastAsia="Times New Roman" w:hAnsi="Times New Roman"/>
                <w:sz w:val="18"/>
                <w:szCs w:val="18"/>
                <w:color w:val="auto"/>
              </w:rPr>
              <w:t>137,731</w:t>
            </w:r>
          </w:p>
        </w:tc>
        <w:tc>
          <w:tcPr>
            <w:tcW w:w="28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96"/>
              <w:spacing w:after="0"/>
              <w:rPr>
                <w:sz w:val="20"/>
                <w:szCs w:val="20"/>
                <w:color w:val="auto"/>
              </w:rPr>
            </w:pPr>
            <w:r>
              <w:rPr>
                <w:rFonts w:ascii="Times New Roman" w:cs="Times New Roman" w:eastAsia="Times New Roman" w:hAnsi="Times New Roman"/>
                <w:sz w:val="18"/>
                <w:szCs w:val="18"/>
                <w:color w:val="auto"/>
              </w:rPr>
              <w:t>169,612</w:t>
            </w:r>
          </w:p>
        </w:tc>
        <w:tc>
          <w:tcPr>
            <w:tcW w:w="320" w:type="dxa"/>
            <w:vAlign w:val="bottom"/>
            <w:gridSpan w:val="2"/>
            <w:shd w:val="clear" w:color="auto" w:fill="DBE5F1"/>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(31,881)</w:t>
            </w:r>
          </w:p>
        </w:tc>
        <w:tc>
          <w:tcPr>
            <w:tcW w:w="1200" w:type="dxa"/>
            <w:vAlign w:val="bottom"/>
            <w:gridSpan w:val="2"/>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4"/>
        </w:trPr>
        <w:tc>
          <w:tcPr>
            <w:tcW w:w="4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01"/>
        <w:spacing w:after="0" w:line="272" w:lineRule="auto"/>
        <w:rPr>
          <w:sz w:val="20"/>
          <w:szCs w:val="20"/>
          <w:color w:val="auto"/>
        </w:rPr>
      </w:pPr>
      <w:r>
        <w:rPr>
          <w:rFonts w:ascii="Times New Roman" w:cs="Times New Roman" w:eastAsia="Times New Roman" w:hAnsi="Times New Roman"/>
          <w:sz w:val="18"/>
          <w:szCs w:val="18"/>
          <w:color w:val="auto"/>
        </w:rPr>
        <w:t>Gross profit as a percentage of net sales, gross margin, was 40.5% in the 2025 quarter compared to 45.4% in the 2024 quarter. The decrease was primarily the result of lower production year over year as we level load our facilities and changes to our production process driven by refinements made to our Enhance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decking.</w:t>
      </w:r>
    </w:p>
    <w:p>
      <w:pPr>
        <w:spacing w:after="0" w:line="2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7620</wp:posOffset>
            </wp:positionV>
            <wp:extent cx="13798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ind w:left="5180"/>
        <w:spacing w:after="0"/>
        <w:tabs>
          <w:tab w:leader="none" w:pos="6300" w:val="left"/>
          <w:tab w:leader="none" w:pos="7280" w:val="left"/>
          <w:tab w:leader="none" w:pos="82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-3175</wp:posOffset>
            </wp:positionV>
            <wp:extent cx="276034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ind w:left="6320"/>
        <w:spacing w:after="0" w:line="232" w:lineRule="auto"/>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82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shd w:val="clear" w:color="auto" w:fill="DBE5F1"/>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130"/>
              <w:spacing w:after="0"/>
              <w:rPr>
                <w:sz w:val="20"/>
                <w:szCs w:val="20"/>
                <w:color w:val="auto"/>
              </w:rPr>
            </w:pPr>
            <w:r>
              <w:rPr>
                <w:rFonts w:ascii="Times New Roman" w:cs="Times New Roman" w:eastAsia="Times New Roman" w:hAnsi="Times New Roman"/>
                <w:sz w:val="18"/>
                <w:szCs w:val="18"/>
                <w:color w:val="auto"/>
              </w:rPr>
              <w:t>56,068</w:t>
            </w:r>
          </w:p>
        </w:tc>
        <w:tc>
          <w:tcPr>
            <w:tcW w:w="280" w:type="dxa"/>
            <w:vAlign w:val="bottom"/>
            <w:shd w:val="clear" w:color="auto" w:fill="DBE5F1"/>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50,600</w:t>
            </w:r>
          </w:p>
        </w:tc>
        <w:tc>
          <w:tcPr>
            <w:tcW w:w="320" w:type="dxa"/>
            <w:vAlign w:val="bottom"/>
            <w:shd w:val="clear" w:color="auto" w:fill="DBE5F1"/>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BE5F1"/>
          </w:tcPr>
          <w:p>
            <w:pPr>
              <w:jc w:val="right"/>
              <w:ind w:right="290"/>
              <w:spacing w:after="0"/>
              <w:rPr>
                <w:sz w:val="20"/>
                <w:szCs w:val="20"/>
                <w:color w:val="auto"/>
              </w:rPr>
            </w:pPr>
            <w:r>
              <w:rPr>
                <w:rFonts w:ascii="Times New Roman" w:cs="Times New Roman" w:eastAsia="Times New Roman" w:hAnsi="Times New Roman"/>
                <w:sz w:val="18"/>
                <w:szCs w:val="18"/>
                <w:color w:val="auto"/>
              </w:rPr>
              <w:t>5,468</w:t>
            </w:r>
          </w:p>
        </w:tc>
        <w:tc>
          <w:tcPr>
            <w:tcW w:w="8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4"/>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of total net sales</w:t>
            </w:r>
          </w:p>
        </w:tc>
        <w:tc>
          <w:tcPr>
            <w:tcW w:w="8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79" w:lineRule="exact"/>
        <w:rPr>
          <w:sz w:val="20"/>
          <w:szCs w:val="20"/>
          <w:color w:val="auto"/>
        </w:rPr>
      </w:pPr>
    </w:p>
    <w:p>
      <w:pPr>
        <w:jc w:val="both"/>
        <w:ind w:right="140" w:firstLine="401"/>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increased $5.5 million to $56.1 million, or 16.5% of net sales, in the 2025 quarter. The increase was primarily related to a $3.4 million increase in branding, a $1.0 million increase in personnel related expenses, $1.0 million in start-up expenses related to Arkansas, and $0.5 million related to ERP enhancements.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7620</wp:posOffset>
            </wp:positionV>
            <wp:extent cx="13798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5140"/>
        <w:spacing w:after="0"/>
        <w:tabs>
          <w:tab w:leader="none" w:pos="6240" w:val="left"/>
          <w:tab w:leader="none" w:pos="7220" w:val="left"/>
          <w:tab w:leader="none" w:pos="82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-3175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6260"/>
        <w:spacing w:after="0" w:line="232" w:lineRule="auto"/>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0"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316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shd w:val="clear" w:color="auto" w:fill="DBE5F1"/>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BE5F1"/>
          </w:tcPr>
          <w:p>
            <w:pPr>
              <w:jc w:val="right"/>
              <w:ind w:right="110"/>
              <w:spacing w:after="0"/>
              <w:rPr>
                <w:sz w:val="20"/>
                <w:szCs w:val="20"/>
                <w:color w:val="auto"/>
              </w:rPr>
            </w:pPr>
            <w:r>
              <w:rPr>
                <w:rFonts w:ascii="Times New Roman" w:cs="Times New Roman" w:eastAsia="Times New Roman" w:hAnsi="Times New Roman"/>
                <w:sz w:val="18"/>
                <w:szCs w:val="18"/>
                <w:color w:val="auto"/>
              </w:rPr>
              <w:t>21,153</w:t>
            </w:r>
          </w:p>
        </w:tc>
        <w:tc>
          <w:tcPr>
            <w:tcW w:w="280" w:type="dxa"/>
            <w:vAlign w:val="bottom"/>
            <w:shd w:val="clear" w:color="auto" w:fill="DBE5F1"/>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DBE5F1"/>
          </w:tcPr>
          <w:p>
            <w:pPr>
              <w:jc w:val="right"/>
              <w:ind w:right="130"/>
              <w:spacing w:after="0"/>
              <w:rPr>
                <w:sz w:val="20"/>
                <w:szCs w:val="20"/>
                <w:color w:val="auto"/>
              </w:rPr>
            </w:pPr>
            <w:r>
              <w:rPr>
                <w:rFonts w:ascii="Times New Roman" w:cs="Times New Roman" w:eastAsia="Times New Roman" w:hAnsi="Times New Roman"/>
                <w:sz w:val="18"/>
                <w:szCs w:val="18"/>
                <w:color w:val="auto"/>
              </w:rPr>
              <w:t>29,947</w:t>
            </w:r>
          </w:p>
        </w:tc>
        <w:tc>
          <w:tcPr>
            <w:tcW w:w="280" w:type="dxa"/>
            <w:vAlign w:val="bottom"/>
            <w:shd w:val="clear" w:color="auto" w:fill="DBE5F1"/>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BE5F1"/>
          </w:tcPr>
          <w:p>
            <w:pPr>
              <w:jc w:val="right"/>
              <w:ind w:right="230"/>
              <w:spacing w:after="0"/>
              <w:rPr>
                <w:sz w:val="20"/>
                <w:szCs w:val="20"/>
                <w:color w:val="auto"/>
              </w:rPr>
            </w:pPr>
            <w:r>
              <w:rPr>
                <w:rFonts w:ascii="Times New Roman" w:cs="Times New Roman" w:eastAsia="Times New Roman" w:hAnsi="Times New Roman"/>
                <w:sz w:val="18"/>
                <w:szCs w:val="18"/>
                <w:color w:val="auto"/>
              </w:rPr>
              <w:t>(8,794)</w:t>
            </w:r>
          </w:p>
        </w:tc>
        <w:tc>
          <w:tcPr>
            <w:tcW w:w="90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34"/>
        </w:trPr>
        <w:tc>
          <w:tcPr>
            <w:tcW w:w="3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Effective tax rate</w:t>
            </w:r>
          </w:p>
        </w:tc>
        <w:tc>
          <w:tcPr>
            <w:tcW w:w="1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effective tax rate for the 2025 quarter was comparable to the 2024 quarter and was 25.9% and 25.2%,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Net Income and Earnings Before Interest, Taxes, Depreciation and Amortization (EBITDA)</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8"/>
          <w:szCs w:val="18"/>
          <w:b w:val="1"/>
          <w:bCs w:val="1"/>
          <w:color w:val="auto"/>
        </w:rPr>
        <w:t xml:space="preserve"> (dollars in thousands)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net income (GAAP) to EBITDA (non-GAAP):</w:t>
      </w:r>
    </w:p>
    <w:p>
      <w:pPr>
        <w:spacing w:after="0" w:line="206" w:lineRule="exact"/>
        <w:rPr>
          <w:sz w:val="20"/>
          <w:szCs w:val="20"/>
          <w:color w:val="auto"/>
        </w:rPr>
      </w:pPr>
    </w:p>
    <w:tbl>
      <w:tblPr>
        <w:tblLayout w:type="fixed"/>
        <w:tblInd w:w="1460" w:type="dxa"/>
        <w:tblCellMar>
          <w:top w:w="0" w:type="dxa"/>
          <w:left w:w="0" w:type="dxa"/>
          <w:bottom w:w="0" w:type="dxa"/>
          <w:right w:w="0" w:type="dxa"/>
        </w:tblCellMar>
      </w:tblPr>
      <w:tr>
        <w:trPr>
          <w:trHeight w:val="37"/>
        </w:trPr>
        <w:tc>
          <w:tcPr>
            <w:tcW w:w="2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8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3"/>
                <w:szCs w:val="3"/>
                <w:color w:val="auto"/>
              </w:rPr>
            </w:pPr>
          </w:p>
        </w:tc>
        <w:tc>
          <w:tcPr>
            <w:tcW w:w="162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line="20" w:lineRule="exact"/>
              <w:rPr>
                <w:sz w:val="1"/>
                <w:szCs w:val="1"/>
                <w:color w:val="auto"/>
              </w:rPr>
            </w:pPr>
          </w:p>
        </w:tc>
      </w:tr>
      <w:tr>
        <w:trPr>
          <w:trHeight w:val="124"/>
        </w:trPr>
        <w:tc>
          <w:tcPr>
            <w:tcW w:w="2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80" w:type="dxa"/>
            <w:vAlign w:val="bottom"/>
            <w:vMerge w:val="continue"/>
          </w:tcPr>
          <w:p>
            <w:pPr>
              <w:spacing w:after="0"/>
              <w:rPr>
                <w:sz w:val="10"/>
                <w:szCs w:val="10"/>
                <w:color w:val="auto"/>
              </w:rPr>
            </w:pPr>
          </w:p>
        </w:tc>
        <w:tc>
          <w:tcPr>
            <w:tcW w:w="340" w:type="dxa"/>
            <w:vAlign w:val="bottom"/>
            <w:tcBorders>
              <w:left w:val="single" w:sz="8" w:color="auto"/>
            </w:tcBorders>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40" w:type="dxa"/>
            <w:vAlign w:val="bottom"/>
            <w:tcBorders>
              <w:left w:val="single" w:sz="8" w:color="auto"/>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25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gridSpan w:val="2"/>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DBE5F1"/>
          </w:tcPr>
          <w:p>
            <w:pPr>
              <w:jc w:val="right"/>
              <w:ind w:right="155"/>
              <w:spacing w:after="0"/>
              <w:rPr>
                <w:sz w:val="20"/>
                <w:szCs w:val="20"/>
                <w:color w:val="auto"/>
              </w:rPr>
            </w:pPr>
            <w:r>
              <w:rPr>
                <w:rFonts w:ascii="Times New Roman" w:cs="Times New Roman" w:eastAsia="Times New Roman" w:hAnsi="Times New Roman"/>
                <w:sz w:val="18"/>
                <w:szCs w:val="18"/>
                <w:color w:val="auto"/>
              </w:rPr>
              <w:t>60,434</w:t>
            </w:r>
          </w:p>
        </w:tc>
        <w:tc>
          <w:tcPr>
            <w:tcW w:w="340" w:type="dxa"/>
            <w:vAlign w:val="bottom"/>
            <w:tcBorders>
              <w:left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89,070</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76</w:t>
            </w:r>
          </w:p>
        </w:tc>
        <w:tc>
          <w:tcPr>
            <w:tcW w:w="340" w:type="dxa"/>
            <w:vAlign w:val="bottom"/>
            <w:tcBorders>
              <w:left w:val="single" w:sz="8" w:color="auto"/>
            </w:tcBorders>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5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shd w:val="clear" w:color="auto" w:fill="DBE5F1"/>
          </w:tcPr>
          <w:p>
            <w:pPr>
              <w:spacing w:after="0"/>
              <w:rPr>
                <w:sz w:val="18"/>
                <w:szCs w:val="18"/>
                <w:color w:val="auto"/>
              </w:rPr>
            </w:pPr>
          </w:p>
        </w:tc>
        <w:tc>
          <w:tcPr>
            <w:tcW w:w="160" w:type="dxa"/>
            <w:vAlign w:val="bottom"/>
            <w:shd w:val="clear" w:color="auto" w:fill="DBE5F1"/>
          </w:tcPr>
          <w:p>
            <w:pPr>
              <w:spacing w:after="0"/>
              <w:rPr>
                <w:sz w:val="18"/>
                <w:szCs w:val="18"/>
                <w:color w:val="auto"/>
              </w:rPr>
            </w:pPr>
          </w:p>
        </w:tc>
        <w:tc>
          <w:tcPr>
            <w:tcW w:w="1880" w:type="dxa"/>
            <w:vAlign w:val="bottom"/>
            <w:shd w:val="clear" w:color="auto" w:fill="DBE5F1"/>
          </w:tcPr>
          <w:p>
            <w:pPr>
              <w:jc w:val="right"/>
              <w:ind w:right="155"/>
              <w:spacing w:after="0"/>
              <w:rPr>
                <w:sz w:val="20"/>
                <w:szCs w:val="20"/>
                <w:color w:val="auto"/>
              </w:rPr>
            </w:pPr>
            <w:r>
              <w:rPr>
                <w:rFonts w:ascii="Times New Roman" w:cs="Times New Roman" w:eastAsia="Times New Roman" w:hAnsi="Times New Roman"/>
                <w:sz w:val="18"/>
                <w:szCs w:val="18"/>
                <w:color w:val="auto"/>
              </w:rPr>
              <w:t>21,153</w:t>
            </w:r>
          </w:p>
        </w:tc>
        <w:tc>
          <w:tcPr>
            <w:tcW w:w="340" w:type="dxa"/>
            <w:vAlign w:val="bottom"/>
            <w:tcBorders>
              <w:left w:val="single" w:sz="8" w:color="auto"/>
            </w:tcBorders>
            <w:shd w:val="clear" w:color="auto" w:fill="DBE5F1"/>
          </w:tcPr>
          <w:p>
            <w:pPr>
              <w:spacing w:after="0"/>
              <w:rPr>
                <w:sz w:val="18"/>
                <w:szCs w:val="18"/>
                <w:color w:val="auto"/>
              </w:rPr>
            </w:pPr>
          </w:p>
        </w:tc>
        <w:tc>
          <w:tcPr>
            <w:tcW w:w="1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29,947</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color w:val="auto"/>
              </w:rPr>
              <w:t>14,249</w:t>
            </w:r>
          </w:p>
        </w:tc>
        <w:tc>
          <w:tcPr>
            <w:tcW w:w="340" w:type="dxa"/>
            <w:vAlign w:val="bottom"/>
            <w:tcBorders>
              <w:left w:val="single" w:sz="8" w:color="auto"/>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0" w:type="dxa"/>
            <w:vAlign w:val="bottom"/>
          </w:tcPr>
          <w:p>
            <w:pPr>
              <w:spacing w:after="0"/>
              <w:rPr>
                <w:sz w:val="1"/>
                <w:szCs w:val="1"/>
                <w:color w:val="auto"/>
              </w:rPr>
            </w:pPr>
          </w:p>
        </w:tc>
      </w:tr>
      <w:tr>
        <w:trPr>
          <w:trHeight w:val="209"/>
        </w:trPr>
        <w:tc>
          <w:tcPr>
            <w:tcW w:w="250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EBITDA</w:t>
            </w:r>
          </w:p>
        </w:tc>
        <w:tc>
          <w:tcPr>
            <w:tcW w:w="460" w:type="dxa"/>
            <w:vAlign w:val="bottom"/>
            <w:gridSpan w:val="2"/>
            <w:shd w:val="clear" w:color="auto" w:fill="DBE5F1"/>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DBE5F1"/>
          </w:tcPr>
          <w:p>
            <w:pPr>
              <w:jc w:val="right"/>
              <w:ind w:right="155"/>
              <w:spacing w:after="0"/>
              <w:rPr>
                <w:sz w:val="20"/>
                <w:szCs w:val="20"/>
                <w:color w:val="auto"/>
              </w:rPr>
            </w:pPr>
            <w:r>
              <w:rPr>
                <w:rFonts w:ascii="Times New Roman" w:cs="Times New Roman" w:eastAsia="Times New Roman" w:hAnsi="Times New Roman"/>
                <w:sz w:val="18"/>
                <w:szCs w:val="18"/>
                <w:color w:val="auto"/>
              </w:rPr>
              <w:t>95,912</w:t>
            </w:r>
          </w:p>
        </w:tc>
        <w:tc>
          <w:tcPr>
            <w:tcW w:w="340" w:type="dxa"/>
            <w:vAlign w:val="bottom"/>
            <w:tcBorders>
              <w:left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133,166</w:t>
            </w:r>
          </w:p>
        </w:tc>
        <w:tc>
          <w:tcPr>
            <w:tcW w:w="0" w:type="dxa"/>
            <w:vAlign w:val="bottom"/>
          </w:tcPr>
          <w:p>
            <w:pPr>
              <w:spacing w:after="0"/>
              <w:rPr>
                <w:sz w:val="1"/>
                <w:szCs w:val="1"/>
                <w:color w:val="auto"/>
              </w:rPr>
            </w:pPr>
          </w:p>
        </w:tc>
      </w:tr>
      <w:tr>
        <w:trPr>
          <w:trHeight w:val="20"/>
        </w:trPr>
        <w:tc>
          <w:tcPr>
            <w:tcW w:w="2500" w:type="dxa"/>
            <w:vAlign w:val="bottom"/>
            <w:shd w:val="clear" w:color="auto" w:fill="DBE5F1"/>
          </w:tcPr>
          <w:p>
            <w:pPr>
              <w:spacing w:after="0" w:line="20" w:lineRule="exact"/>
              <w:rPr>
                <w:sz w:val="1"/>
                <w:szCs w:val="1"/>
                <w:color w:val="auto"/>
              </w:rPr>
            </w:pPr>
          </w:p>
        </w:tc>
        <w:tc>
          <w:tcPr>
            <w:tcW w:w="300" w:type="dxa"/>
            <w:vAlign w:val="bottom"/>
            <w:shd w:val="clear" w:color="auto" w:fill="DBE5F1"/>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EBITDA represents net income before interest, income taxes, depreciation and amortization. EBITDA is not a measurement of financial performance under accounting principles generally accepted in the United States (GAAP). We have included data with respect to EBITDA because management believes it facilitates performance comparison between the Company and its competitors. Management considers EBITDA to be an important supplemental indicator of our core operating performance because it eliminates interest, income taxes, and depreciation and amortization charges to net income. In relation to competitors, EBITDA eliminates differences among companies in capitalization and tax structures, capital investment cycles and ages of related assets. For these reasons, management believes that EBITDA provides important information regarding the operating performance of the Company. Non-GAAP financial measures should be viewed in addition to, and not as an alternative for, the Company’s reported results prepared in accordance with GAAP and are not meant to be considered superior to or a substitute for our GAAP results.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57" w:right="1119" w:bottom="1440" w:gutter="0" w:footer="0" w:header="0"/>
        </w:sectPr>
      </w:pPr>
    </w:p>
    <w:bookmarkStart w:id="20" w:name="page21"/>
    <w:bookmarkEnd w:id="20"/>
    <w:p>
      <w:pPr>
        <w:ind w:left="4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7620</wp:posOffset>
            </wp:positionV>
            <wp:extent cx="13455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5120"/>
        <w:spacing w:after="0"/>
        <w:tabs>
          <w:tab w:leader="none" w:pos="6200" w:val="left"/>
          <w:tab w:leader="none" w:pos="7160" w:val="left"/>
          <w:tab w:leader="none" w:pos="82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 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3045460</wp:posOffset>
            </wp:positionH>
            <wp:positionV relativeFrom="paragraph">
              <wp:posOffset>-3175</wp:posOffset>
            </wp:positionV>
            <wp:extent cx="28200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6240"/>
        <w:spacing w:after="0" w:line="235" w:lineRule="auto"/>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0</wp:posOffset>
            </wp:positionV>
            <wp:extent cx="555498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54980" cy="137160"/>
                    </a:xfrm>
                    <a:prstGeom prst="rect">
                      <a:avLst/>
                    </a:prstGeom>
                    <a:noFill/>
                  </pic:spPr>
                </pic:pic>
              </a:graphicData>
            </a:graphic>
          </wp:anchor>
        </w:drawing>
      </w:r>
    </w:p>
    <w:p>
      <w:pPr>
        <w:ind w:left="500"/>
        <w:spacing w:after="0"/>
        <w:tabs>
          <w:tab w:leader="none" w:pos="4780" w:val="left"/>
          <w:tab w:leader="none" w:pos="5220" w:val="left"/>
          <w:tab w:leader="none" w:pos="5880" w:val="left"/>
          <w:tab w:leader="none" w:pos="6240" w:val="left"/>
          <w:tab w:leader="none" w:pos="7000" w:val="left"/>
          <w:tab w:leader="none" w:pos="7360" w:val="left"/>
          <w:tab w:leader="none" w:pos="8620" w:val="left"/>
        </w:tabs>
        <w:rPr>
          <w:sz w:val="20"/>
          <w:szCs w:val="20"/>
          <w:color w:val="auto"/>
        </w:rPr>
      </w:pPr>
      <w:r>
        <w:rPr>
          <w:rFonts w:ascii="Times New Roman" w:cs="Times New Roman" w:eastAsia="Times New Roman" w:hAnsi="Times New Roman"/>
          <w:sz w:val="18"/>
          <w:szCs w:val="18"/>
          <w:color w:val="auto"/>
        </w:rPr>
        <w:t>EBITDA</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95,912</w:t>
        <w:tab/>
        <w:t>$</w:t>
        <w:tab/>
        <w:t>133,166</w:t>
        <w:tab/>
        <w:t>$</w:t>
        <w:tab/>
        <w:t>(37,254)</w:t>
      </w:r>
      <w:r>
        <w:rPr>
          <w:sz w:val="20"/>
          <w:szCs w:val="20"/>
          <w:color w:val="auto"/>
        </w:rPr>
        <w:tab/>
      </w:r>
      <w:r>
        <w:rPr>
          <w:rFonts w:ascii="Times New Roman" w:cs="Times New Roman" w:eastAsia="Times New Roman" w:hAnsi="Times New Roman"/>
          <w:sz w:val="18"/>
          <w:szCs w:val="18"/>
          <w:color w:val="auto"/>
        </w:rPr>
        <w:t>(28.0)%</w:t>
      </w:r>
    </w:p>
    <w:p>
      <w:pPr>
        <w:spacing w:after="0" w:line="205" w:lineRule="exact"/>
        <w:rPr>
          <w:sz w:val="20"/>
          <w:szCs w:val="20"/>
          <w:color w:val="auto"/>
        </w:rPr>
      </w:pPr>
    </w:p>
    <w:p>
      <w:pPr>
        <w:ind w:right="80" w:firstLine="401"/>
        <w:spacing w:after="0" w:line="282" w:lineRule="auto"/>
        <w:rPr>
          <w:sz w:val="20"/>
          <w:szCs w:val="20"/>
          <w:color w:val="auto"/>
        </w:rPr>
      </w:pPr>
      <w:r>
        <w:rPr>
          <w:rFonts w:ascii="Times New Roman" w:cs="Times New Roman" w:eastAsia="Times New Roman" w:hAnsi="Times New Roman"/>
          <w:sz w:val="18"/>
          <w:szCs w:val="18"/>
          <w:color w:val="auto"/>
        </w:rPr>
        <w:t>EBITDA decreased 28% to $95.9 million for the 2025 quarter compared to $133.2 million for the 2024 quarter. The decrease in EBITDA was driven primarily by lower net sales and gross profit.</w:t>
      </w:r>
    </w:p>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ind w:right="200" w:firstLine="401"/>
        <w:spacing w:after="0" w:line="266" w:lineRule="auto"/>
        <w:rPr>
          <w:sz w:val="20"/>
          <w:szCs w:val="20"/>
          <w:color w:val="auto"/>
        </w:rPr>
      </w:pPr>
      <w:r>
        <w:rPr>
          <w:rFonts w:ascii="Times New Roman" w:cs="Times New Roman" w:eastAsia="Times New Roman" w:hAnsi="Times New Roman"/>
          <w:sz w:val="18"/>
          <w:szCs w:val="18"/>
          <w:color w:val="auto"/>
        </w:rPr>
        <w:t>We finance operations and growth primarily with cash flows from operations, borrowings under our revolving credit facilities, operating leases and normal trade credit terms from operating activities. At March 31, 2025, we had $5.0 million of cash and cash equivalents.</w:t>
      </w:r>
    </w:p>
    <w:p>
      <w:pPr>
        <w:spacing w:after="0" w:line="133" w:lineRule="exact"/>
        <w:rPr>
          <w:sz w:val="20"/>
          <w:szCs w:val="20"/>
          <w:color w:val="auto"/>
        </w:rPr>
      </w:pPr>
    </w:p>
    <w:p>
      <w:pPr>
        <w:ind w:right="20" w:firstLine="401"/>
        <w:spacing w:after="0" w:line="284"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ources and Uses of Cash.</w:t>
      </w:r>
      <w:r>
        <w:rPr>
          <w:rFonts w:ascii="Times New Roman" w:cs="Times New Roman" w:eastAsia="Times New Roman" w:hAnsi="Times New Roman"/>
          <w:sz w:val="18"/>
          <w:szCs w:val="18"/>
          <w:color w:val="auto"/>
        </w:rPr>
        <w:t xml:space="preserve"> The following table summarizes our cash flows from operating, investing and financing activities (in thousands):</w:t>
      </w:r>
    </w:p>
    <w:p>
      <w:pPr>
        <w:spacing w:after="0" w:line="154" w:lineRule="exact"/>
        <w:rPr>
          <w:sz w:val="20"/>
          <w:szCs w:val="20"/>
          <w:color w:val="auto"/>
        </w:rPr>
      </w:pPr>
    </w:p>
    <w:tbl>
      <w:tblPr>
        <w:tblLayout w:type="fixed"/>
        <w:tblInd w:w="146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160" w:type="dxa"/>
            <w:vAlign w:val="bottom"/>
            <w:tcBorders>
              <w:bottom w:val="single" w:sz="8" w:color="auto"/>
            </w:tcBorders>
            <w:gridSpan w:val="5"/>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46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64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DBE5F1"/>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(154,013)</w:t>
            </w:r>
          </w:p>
        </w:tc>
        <w:tc>
          <w:tcPr>
            <w:tcW w:w="300" w:type="dxa"/>
            <w:vAlign w:val="bottom"/>
            <w:gridSpan w:val="2"/>
            <w:shd w:val="clear" w:color="auto" w:fill="DBE5F1"/>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(174,044)</w:t>
            </w:r>
          </w:p>
        </w:tc>
      </w:tr>
      <w:tr>
        <w:trPr>
          <w:trHeight w:val="216"/>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(37,614)</w:t>
            </w:r>
          </w:p>
        </w:tc>
      </w:tr>
      <w:tr>
        <w:trPr>
          <w:trHeight w:val="216"/>
        </w:trPr>
        <w:tc>
          <w:tcPr>
            <w:tcW w:w="4640" w:type="dxa"/>
            <w:vAlign w:val="bottom"/>
            <w:tcBorders>
              <w:bottom w:val="single" w:sz="8" w:color="DBE5F1"/>
            </w:tcBorders>
            <w:shd w:val="clear" w:color="auto" w:fill="DBE5F1"/>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bottom w:val="single" w:sz="8" w:color="auto"/>
            </w:tcBorders>
            <w:shd w:val="clear" w:color="auto" w:fill="DBE5F1"/>
          </w:tcPr>
          <w:p>
            <w:pPr>
              <w:spacing w:after="0"/>
              <w:rPr>
                <w:sz w:val="18"/>
                <w:szCs w:val="18"/>
                <w:color w:val="auto"/>
              </w:rPr>
            </w:pPr>
          </w:p>
        </w:tc>
        <w:tc>
          <w:tcPr>
            <w:tcW w:w="84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237,649</w:t>
            </w:r>
          </w:p>
        </w:tc>
        <w:tc>
          <w:tcPr>
            <w:tcW w:w="100" w:type="dxa"/>
            <w:vAlign w:val="bottom"/>
            <w:tcBorders>
              <w:bottom w:val="single" w:sz="8" w:color="DBE5F1"/>
            </w:tcBorders>
            <w:shd w:val="clear" w:color="auto" w:fill="DBE5F1"/>
          </w:tcPr>
          <w:p>
            <w:pPr>
              <w:spacing w:after="0"/>
              <w:rPr>
                <w:sz w:val="18"/>
                <w:szCs w:val="18"/>
                <w:color w:val="auto"/>
              </w:rPr>
            </w:pPr>
          </w:p>
        </w:tc>
        <w:tc>
          <w:tcPr>
            <w:tcW w:w="200" w:type="dxa"/>
            <w:vAlign w:val="bottom"/>
            <w:tcBorders>
              <w:bottom w:val="single" w:sz="8" w:color="auto"/>
            </w:tcBorders>
            <w:shd w:val="clear" w:color="auto" w:fill="DBE5F1"/>
          </w:tcPr>
          <w:p>
            <w:pPr>
              <w:spacing w:after="0"/>
              <w:rPr>
                <w:sz w:val="18"/>
                <w:szCs w:val="18"/>
                <w:color w:val="auto"/>
              </w:rPr>
            </w:pPr>
          </w:p>
        </w:tc>
        <w:tc>
          <w:tcPr>
            <w:tcW w:w="82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212,752</w:t>
            </w:r>
          </w:p>
        </w:tc>
      </w:tr>
      <w:tr>
        <w:trPr>
          <w:trHeight w:val="209"/>
        </w:trPr>
        <w:tc>
          <w:tcPr>
            <w:tcW w:w="4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r>
      <w:tr>
        <w:trPr>
          <w:trHeight w:val="20"/>
        </w:trPr>
        <w:tc>
          <w:tcPr>
            <w:tcW w:w="4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4528820</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189" w:lineRule="exact"/>
        <w:rPr>
          <w:sz w:val="20"/>
          <w:szCs w:val="20"/>
          <w:color w:val="auto"/>
        </w:rPr>
      </w:pPr>
    </w:p>
    <w:p>
      <w:pPr>
        <w:ind w:right="240" w:firstLine="401"/>
        <w:spacing w:after="0" w:line="266" w:lineRule="auto"/>
        <w:rPr>
          <w:sz w:val="20"/>
          <w:szCs w:val="20"/>
          <w:color w:val="auto"/>
        </w:rPr>
      </w:pPr>
      <w:r>
        <w:rPr>
          <w:rFonts w:ascii="Times New Roman" w:cs="Times New Roman" w:eastAsia="Times New Roman" w:hAnsi="Times New Roman"/>
          <w:sz w:val="18"/>
          <w:szCs w:val="18"/>
          <w:color w:val="auto"/>
        </w:rPr>
        <w:t>Cash used in operations was $154 million during the 2025 three-month period compared to cash used in operations of $174 million during the 2024 three-month period. The $20 million decrease in cash used in operating activities was primarily related to a decrease in inventories and reduced profitability.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189" w:lineRule="exact"/>
        <w:rPr>
          <w:sz w:val="20"/>
          <w:szCs w:val="20"/>
          <w:color w:val="auto"/>
        </w:rPr>
      </w:pPr>
    </w:p>
    <w:p>
      <w:pPr>
        <w:ind w:right="200" w:firstLine="401"/>
        <w:spacing w:after="0" w:line="266" w:lineRule="auto"/>
        <w:rPr>
          <w:sz w:val="20"/>
          <w:szCs w:val="20"/>
          <w:color w:val="auto"/>
        </w:rPr>
      </w:pPr>
      <w:r>
        <w:rPr>
          <w:rFonts w:ascii="Times New Roman" w:cs="Times New Roman" w:eastAsia="Times New Roman" w:hAnsi="Times New Roman"/>
          <w:sz w:val="18"/>
          <w:szCs w:val="18"/>
          <w:color w:val="auto"/>
        </w:rPr>
        <w:t>Capital expenditures in the 2025 three-month period were $79.5 million primarily related to $64.2 million for the Arkansas manufacturing facility, $4.4 million in cost reduction initiatives, and $7.4 million in capacity expansion in our existing facilities and safety, environmental and general support.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02" w:lineRule="exact"/>
        <w:rPr>
          <w:sz w:val="20"/>
          <w:szCs w:val="20"/>
          <w:color w:val="auto"/>
        </w:rPr>
      </w:pPr>
    </w:p>
    <w:p>
      <w:pPr>
        <w:ind w:right="60" w:firstLine="40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2025 three-month period consisted primarily of net borrowings under our line of credit.</w:t>
      </w:r>
    </w:p>
    <w:p>
      <w:pPr>
        <w:spacing w:after="0" w:line="119" w:lineRule="exact"/>
        <w:rPr>
          <w:sz w:val="20"/>
          <w:szCs w:val="20"/>
          <w:color w:val="auto"/>
        </w:rPr>
      </w:pPr>
    </w:p>
    <w:p>
      <w:pPr>
        <w:ind w:right="200" w:firstLine="401"/>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Repurchase Program. </w:t>
      </w:r>
      <w:r>
        <w:rPr>
          <w:rFonts w:ascii="Times New Roman" w:cs="Times New Roman" w:eastAsia="Times New Roman" w:hAnsi="Times New Roman"/>
          <w:sz w:val="18"/>
          <w:szCs w:val="18"/>
          <w:color w:val="auto"/>
        </w:rPr>
        <w:t>On February 16, 2018, the Trex Board of Directors adopted a stock repurchase program of 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11.6 million shares of its outstanding common stock (Stock Repurchase Program). The Company repurchased 10.1 million shares under the Stock Repurchase Program. On May 4, 2023, the Trex Board of Directors adopted a new stock repurchase program (2023 Stock Repurchase Program) of up to 10.8 million shares of its outstanding common stock, and terminated the existing Stock Repurchase Program. The 2023 Stock Repurchase Program has no set expiration date and during the three months ended March 31, 2025 the Company did not repurchase any shares of its common stock under the 2023 Stock Repurchase Program.</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98" w:lineRule="exact"/>
        <w:rPr>
          <w:sz w:val="20"/>
          <w:szCs w:val="20"/>
          <w:color w:val="auto"/>
        </w:rPr>
      </w:pPr>
    </w:p>
    <w:p>
      <w:pPr>
        <w:ind w:firstLine="44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Indebtedness prior to October 10, 2024. </w:t>
      </w:r>
      <w:r>
        <w:rPr>
          <w:rFonts w:ascii="Times New Roman" w:cs="Times New Roman" w:eastAsia="Times New Roman" w:hAnsi="Times New Roman"/>
          <w:sz w:val="18"/>
          <w:szCs w:val="18"/>
          <w:color w:val="auto"/>
        </w:rPr>
        <w:t>On May 18, 2022, the Company entered into a Credit Agreement (Credit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certain lending parties thereto (Lenders) to amend and restate the Fourth Amended and Restated Credit Agreement dated as of November 5, 2019. Under the Credit Agreement, the Lenders agreed to provide the Company with one or more Revolving Loans in a collective maximum principal amount of $400,000,000 (Loan Limit) throughout the term, which ends May 18, 2027 (Term). Included within the Loan Limit are sublimits for a Letter of Credit facility in an amount not to exceed $60,000,000; and Swing Line Loans in an aggregate principal amount at any time outstanding not to exceed $20,000,000. The Revolving Loans, the Letter of Credit facility and the Swing Line Loans are for the purpose of raising working capital and supporting general business operations.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1195" w:right="1119" w:bottom="1440" w:gutter="0" w:footer="0" w:header="0"/>
        </w:sectPr>
      </w:pPr>
    </w:p>
    <w:bookmarkStart w:id="21" w:name="page22"/>
    <w:bookmarkEnd w:id="21"/>
    <w:p>
      <w:pPr>
        <w:ind w:firstLine="401"/>
        <w:spacing w:after="0" w:line="256" w:lineRule="auto"/>
        <w:rPr>
          <w:sz w:val="20"/>
          <w:szCs w:val="20"/>
          <w:color w:val="auto"/>
        </w:rPr>
      </w:pPr>
      <w:r>
        <w:rPr>
          <w:rFonts w:ascii="Times New Roman" w:cs="Times New Roman" w:eastAsia="Times New Roman" w:hAnsi="Times New Roman"/>
          <w:sz w:val="18"/>
          <w:szCs w:val="18"/>
          <w:color w:val="auto"/>
        </w:rPr>
        <w:t>On December 22, 2022, the Company entered into a First Amendment to the Credit Agreement (First Amendment). As a part of the First Amendment, the Credit Agreement was amended and restated to provide for an additional Revolving B Loan (as hereinafter defined). Under the First Amendment, the Lenders agreed to provide the Company with a Revolving B Loan consisting of one or more revolving loans in a collective maximum principal amount of $150,000,000 (Revolving B Loan Limit) throughout the term, which ended December 22, 2024 (Revolving B Loan Term). Previously, under the Credit Agreement, there was no Revolving B Loan. The First Amendment also provided that TD Bank, N.A. would serve as Syndication Agent.</w:t>
      </w:r>
    </w:p>
    <w:p>
      <w:pPr>
        <w:spacing w:after="0" w:line="160" w:lineRule="exact"/>
        <w:rPr>
          <w:sz w:val="20"/>
          <w:szCs w:val="20"/>
          <w:color w:val="auto"/>
        </w:rPr>
      </w:pPr>
    </w:p>
    <w:p>
      <w:pPr>
        <w:ind w:firstLine="401"/>
        <w:spacing w:after="0" w:line="266" w:lineRule="auto"/>
        <w:rPr>
          <w:sz w:val="20"/>
          <w:szCs w:val="20"/>
          <w:color w:val="auto"/>
        </w:rPr>
      </w:pPr>
      <w:r>
        <w:rPr>
          <w:rFonts w:ascii="Times New Roman" w:cs="Times New Roman" w:eastAsia="Times New Roman" w:hAnsi="Times New Roman"/>
          <w:sz w:val="18"/>
          <w:szCs w:val="18"/>
          <w:color w:val="auto"/>
        </w:rPr>
        <w:t>In conjunction with the First Amendment, on December 22, 2022, the Credit Agreement was amended and restated to refer to the original loan as the Revolving A Loan. The amended and restated Credit Agreement was made an Exhibit A to the First Amendment. All of the terms of the Credit Agreement apply to the Revolving B Loan.</w:t>
      </w:r>
    </w:p>
    <w:p>
      <w:pPr>
        <w:spacing w:after="0" w:line="135"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The amended Credit Agreement provides the Company, in the aggregate, the ability to borrow an amount up to the Revolving A Loan Limit during the Revolving A Loan Term (which ends May 18, 2027) and Revolving B Loan Limit during the Revolving B Loan Term. The Company is not obligated to borrow any amount under the revolving loans. Within the respective loan limit, the Company may borrow, repay and reborrow at any time or from time to time while the notes issued pursuant to the Credit Agreement are in effect.</w:t>
      </w:r>
    </w:p>
    <w:p>
      <w:pPr>
        <w:spacing w:after="0" w:line="143"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w:t>
      </w:r>
    </w:p>
    <w:p>
      <w:pPr>
        <w:spacing w:after="0" w:line="162" w:lineRule="exact"/>
        <w:rPr>
          <w:sz w:val="20"/>
          <w:szCs w:val="20"/>
          <w:color w:val="auto"/>
        </w:rPr>
      </w:pPr>
    </w:p>
    <w:p>
      <w:pPr>
        <w:ind w:right="20" w:firstLine="401"/>
        <w:spacing w:after="0" w:line="261" w:lineRule="auto"/>
        <w:rPr>
          <w:sz w:val="20"/>
          <w:szCs w:val="20"/>
          <w:color w:val="auto"/>
        </w:rPr>
      </w:pPr>
      <w:r>
        <w:rPr>
          <w:rFonts w:ascii="Times New Roman" w:cs="Times New Roman" w:eastAsia="Times New Roman" w:hAnsi="Times New Roman"/>
          <w:sz w:val="18"/>
          <w:szCs w:val="18"/>
          <w:color w:val="auto"/>
        </w:rPr>
        <w:t>With respect to Revolving B Loans (as defined in the First Amendment), for any day, the rate per annum is a tiered pricing based upon the Consolidated Debt to Consolidated EBITDA Ratio. The applicable rate for Revolving B Loans that are Base Rate Loans range between 1.20% and 2.15% and the applicable rate for Revolving B Loans that are Term SOFR/Term SOFR Daily Floating Rate range between 0.20% and 1.15%.</w:t>
      </w:r>
    </w:p>
    <w:p>
      <w:pPr>
        <w:spacing w:after="0" w:line="180" w:lineRule="exact"/>
        <w:rPr>
          <w:sz w:val="20"/>
          <w:szCs w:val="20"/>
          <w:color w:val="auto"/>
        </w:rPr>
      </w:pPr>
    </w:p>
    <w:p>
      <w:pPr>
        <w:ind w:right="240" w:firstLine="401"/>
        <w:spacing w:after="0" w:line="261" w:lineRule="auto"/>
        <w:rPr>
          <w:sz w:val="20"/>
          <w:szCs w:val="20"/>
          <w:color w:val="auto"/>
        </w:rPr>
      </w:pPr>
      <w:r>
        <w:rPr>
          <w:rFonts w:ascii="Times New Roman" w:cs="Times New Roman" w:eastAsia="Times New Roman" w:hAnsi="Times New Roman"/>
          <w:sz w:val="18"/>
          <w:szCs w:val="18"/>
          <w:color w:val="auto"/>
        </w:rPr>
        <w:t>Under the terms of the Security and Pledge Agreement, the Company, subject to certain permitted encumbrances, as collateral security for the above-stated loans and all other present and future indebtedness of the Company owing to the Lenders grants a continuing security interest in certain collateral described and defined in the Security and Pledge Agreement but excluding the Excluded Property (as defined in the Security and Pledge Agreement).</w:t>
      </w:r>
    </w:p>
    <w:p>
      <w:pPr>
        <w:spacing w:after="0" w:line="137" w:lineRule="exact"/>
        <w:rPr>
          <w:sz w:val="20"/>
          <w:szCs w:val="20"/>
          <w:color w:val="auto"/>
        </w:rPr>
      </w:pPr>
    </w:p>
    <w:p>
      <w:pPr>
        <w:ind w:right="16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Indebtedness on and after October 10, 2024. </w:t>
      </w:r>
      <w:r>
        <w:rPr>
          <w:rFonts w:ascii="Times New Roman" w:cs="Times New Roman" w:eastAsia="Times New Roman" w:hAnsi="Times New Roman"/>
          <w:sz w:val="18"/>
          <w:szCs w:val="18"/>
          <w:color w:val="auto"/>
        </w:rPr>
        <w:t>On October 10, 2024, Trex entered into a Second Amendment to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(Second Amendment) with certain lending parties thereto (Lenders) to amend that Credit Agreement dated as of May 18, 2022, as amended by that certain First Amendment dated as of December 22, 2022.</w:t>
      </w:r>
    </w:p>
    <w:p>
      <w:pPr>
        <w:spacing w:after="0" w:line="108" w:lineRule="exact"/>
        <w:rPr>
          <w:sz w:val="20"/>
          <w:szCs w:val="20"/>
          <w:color w:val="auto"/>
        </w:rPr>
      </w:pPr>
    </w:p>
    <w:p>
      <w:pPr>
        <w:ind w:right="40" w:firstLine="401"/>
        <w:spacing w:after="0" w:line="261" w:lineRule="auto"/>
        <w:rPr>
          <w:sz w:val="20"/>
          <w:szCs w:val="20"/>
          <w:color w:val="auto"/>
        </w:rPr>
      </w:pPr>
      <w:r>
        <w:rPr>
          <w:rFonts w:ascii="Times New Roman" w:cs="Times New Roman" w:eastAsia="Times New Roman" w:hAnsi="Times New Roman"/>
          <w:sz w:val="18"/>
          <w:szCs w:val="18"/>
          <w:color w:val="auto"/>
        </w:rPr>
        <w:t>The Second Amendment provides us with Revolving A Loans in the maximum principal amount of $400,000,000 (Revolving A Loans), Revolving B Loans in the maximum principal amount of $150,000,000 (Revolving B Loans), and Letters of Credit and Swing Line Loans (as defined in the Credit Agreement). The Second Amendment extends the maturity date of the Revolving B Loans from December 22, 2024 to December 22, 2026.</w:t>
      </w:r>
    </w:p>
    <w:p>
      <w:pPr>
        <w:spacing w:after="0" w:line="99"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Base Rate Loans (as defined in the Credit Agreement) under the Revolving A Loan and the Swing Line Loans accrue interest at the Base Rate plus the Applicable Rate (as defined in the Credit Agreement) and Term SOFR Loans for the Revolving Loans accrue interest at the rate per annum equal to the sum of Term SOFR for such interest period plus the Applicable Rate (as defined in the Credit Agreement). The Base Rate for any day is a fluctuating rate per annum equal to the highest of (a) the Federal Funds Rate plus 0.50%, (b) the rate of interest in effect for such day as publicly announced from time to time by BOA as its prime rate, and (c) the Term SOFR plus 1.0% subject to certain interest rate floors. Repayment of all then outstanding principal, interest, fees and costs is due at the end of the Term (as defined in the Credit Agreement).</w:t>
      </w:r>
    </w:p>
    <w:p>
      <w:pPr>
        <w:spacing w:after="0" w:line="121" w:lineRule="exact"/>
        <w:rPr>
          <w:sz w:val="20"/>
          <w:szCs w:val="20"/>
          <w:color w:val="auto"/>
        </w:rPr>
      </w:pPr>
    </w:p>
    <w:p>
      <w:pPr>
        <w:ind w:right="420" w:firstLine="401"/>
        <w:spacing w:after="0" w:line="261" w:lineRule="auto"/>
        <w:rPr>
          <w:sz w:val="20"/>
          <w:szCs w:val="20"/>
          <w:color w:val="auto"/>
        </w:rPr>
      </w:pPr>
      <w:r>
        <w:rPr>
          <w:rFonts w:ascii="Times New Roman" w:cs="Times New Roman" w:eastAsia="Times New Roman" w:hAnsi="Times New Roman"/>
          <w:sz w:val="18"/>
          <w:szCs w:val="18"/>
          <w:color w:val="auto"/>
        </w:rPr>
        <w:t>With respect to Revolving B Loans (as defined in the Credit Agreement), for any day, the rate per annum is a tiered pricing based upon the Consolidated Debt to Consolidated EBITDA Ratio. The applicable rate for Revolving B Loans that are Base Rate Loans range between 0.20% and 1.15%. and the applicable rate for Revolving B Loans that are Term SOFR/Term SOFR Daily Floating Rate range between 1.20% and 2.15%.</w:t>
      </w:r>
    </w:p>
    <w:p>
      <w:pPr>
        <w:spacing w:after="0" w:line="112" w:lineRule="exact"/>
        <w:rPr>
          <w:sz w:val="20"/>
          <w:szCs w:val="20"/>
          <w:color w:val="auto"/>
        </w:rPr>
      </w:pPr>
    </w:p>
    <w:p>
      <w:pPr>
        <w:ind w:right="100" w:firstLine="401"/>
        <w:spacing w:after="0" w:line="282" w:lineRule="auto"/>
        <w:rPr>
          <w:sz w:val="20"/>
          <w:szCs w:val="20"/>
          <w:color w:val="auto"/>
        </w:rPr>
      </w:pPr>
      <w:r>
        <w:rPr>
          <w:rFonts w:ascii="Times New Roman" w:cs="Times New Roman" w:eastAsia="Times New Roman" w:hAnsi="Times New Roman"/>
          <w:sz w:val="18"/>
          <w:szCs w:val="18"/>
          <w:color w:val="auto"/>
        </w:rPr>
        <w:t>At March 31, 2025, we had $443.9 million in outstanding borrowings under the revolving credit facility and borrowing capacity under the facility of $106.1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61" w:right="1099" w:bottom="1440" w:gutter="0" w:footer="0" w:header="0"/>
        </w:sectPr>
      </w:pPr>
    </w:p>
    <w:bookmarkStart w:id="22" w:name="page23"/>
    <w:bookmarkEnd w:id="22"/>
    <w:p>
      <w:pPr>
        <w:ind w:right="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Compliance with Debt Covenants and Restrictions. </w:t>
      </w:r>
      <w:r>
        <w:rPr>
          <w:rFonts w:ascii="Times New Roman" w:cs="Times New Roman" w:eastAsia="Times New Roman" w:hAnsi="Times New Roman"/>
          <w:sz w:val="18"/>
          <w:szCs w:val="18"/>
          <w:color w:val="auto"/>
        </w:rPr>
        <w:t>Pursuant to the terms of the Credit Agreement, the Company,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loan compliance covenants. The Company was in compliance with all covenants at March 31, 2025. Failure to comply with the financial covenants could be considered a default of repayment obligations and, among other remedies, could accelerate payment of any amounts outstanding.</w:t>
      </w:r>
    </w:p>
    <w:p>
      <w:pPr>
        <w:spacing w:after="0" w:line="141" w:lineRule="exact"/>
        <w:rPr>
          <w:sz w:val="20"/>
          <w:szCs w:val="20"/>
          <w:color w:val="auto"/>
        </w:rPr>
      </w:pPr>
    </w:p>
    <w:p>
      <w:pPr>
        <w:ind w:right="60" w:firstLine="401"/>
        <w:spacing w:after="0" w:line="258" w:lineRule="auto"/>
        <w:rPr>
          <w:sz w:val="20"/>
          <w:szCs w:val="20"/>
          <w:color w:val="auto"/>
        </w:rPr>
      </w:pPr>
      <w:r>
        <w:rPr>
          <w:rFonts w:ascii="Times New Roman" w:cs="Times New Roman" w:eastAsia="Times New Roman" w:hAnsi="Times New Roman"/>
          <w:sz w:val="18"/>
          <w:szCs w:val="18"/>
          <w:color w:val="auto"/>
        </w:rPr>
        <w:t>We believe that cash on hand, cash from operations and borrowings expected to be available under our revolving credit facilities will provide sufficient funds to fund planned capital expenditures, make scheduled principal and interest payments, fund warranty payments, and meet other cash requirements. We currently expect to fund future capital expenditures from operations and financing activities. The actual amount and timing of future capital requirements may differ materially from our estimate depending on the demand for Trex products and new market developments and opportunities.</w:t>
      </w:r>
    </w:p>
    <w:p>
      <w:pPr>
        <w:spacing w:after="0" w:line="154" w:lineRule="exact"/>
        <w:rPr>
          <w:sz w:val="20"/>
          <w:szCs w:val="20"/>
          <w:color w:val="auto"/>
        </w:rPr>
      </w:pPr>
    </w:p>
    <w:p>
      <w:pPr>
        <w:ind w:right="40"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Requirements. </w:t>
      </w:r>
      <w:r>
        <w:rPr>
          <w:rFonts w:ascii="Times New Roman" w:cs="Times New Roman" w:eastAsia="Times New Roman" w:hAnsi="Times New Roman"/>
          <w:sz w:val="18"/>
          <w:szCs w:val="18"/>
          <w:color w:val="auto"/>
        </w:rPr>
        <w:t>Our capital expenditure guidance for 2025 is $190 million to $210 million. In addition to the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Arkansas facility, our capital allocation priorities for 2025 include expenditures for internal growth opportunities, manufacturing cost reductions, upgrading equipment and support systems, and acquisitions which fit our long-term growth strategy as we continue to evaluate opportunities that would be a good strategic fit for Trex, and return of capital to shareholders.</w:t>
      </w:r>
    </w:p>
    <w:p>
      <w:pPr>
        <w:spacing w:after="0" w:line="141" w:lineRule="exact"/>
        <w:rPr>
          <w:sz w:val="20"/>
          <w:szCs w:val="20"/>
          <w:color w:val="auto"/>
        </w:rPr>
      </w:pPr>
    </w:p>
    <w:p>
      <w:pPr>
        <w:ind w:right="140" w:firstLine="401"/>
        <w:spacing w:after="0" w:line="282" w:lineRule="auto"/>
        <w:rPr>
          <w:sz w:val="20"/>
          <w:szCs w:val="20"/>
          <w:color w:val="auto"/>
        </w:rPr>
      </w:pPr>
      <w:r>
        <w:rPr>
          <w:rFonts w:ascii="Times New Roman" w:cs="Times New Roman" w:eastAsia="Times New Roman" w:hAnsi="Times New Roman"/>
          <w:sz w:val="18"/>
          <w:szCs w:val="18"/>
          <w:color w:val="auto"/>
        </w:rPr>
        <w:t>As previously announced, the Company anticipates spending approximately $550 million on the Arkansas facility, of which we have already invested $451 million.</w:t>
      </w:r>
    </w:p>
    <w:p>
      <w:pPr>
        <w:spacing w:after="0" w:line="119" w:lineRule="exact"/>
        <w:rPr>
          <w:sz w:val="20"/>
          <w:szCs w:val="20"/>
          <w:color w:val="auto"/>
        </w:rPr>
      </w:pPr>
    </w:p>
    <w:p>
      <w:pPr>
        <w:ind w:right="80"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Inventory in Distribution Channels. </w:t>
      </w:r>
      <w:r>
        <w:rPr>
          <w:rFonts w:ascii="Times New Roman" w:cs="Times New Roman" w:eastAsia="Times New Roman" w:hAnsi="Times New Roman"/>
          <w:sz w:val="18"/>
          <w:szCs w:val="18"/>
          <w:color w:val="auto"/>
        </w:rPr>
        <w:t>We sell our decking and railing products through a tiered distribution system. We have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distributors worldwide and two national retail merchandisers to which we sell our products. The distributors in turn sell the products to dealers and retail locations who in turn sell the products to end users. Significant increases in inventory levels in the distribution channel without a corresponding change in end-use demand could have an adverse effect on future sales.</w:t>
      </w:r>
    </w:p>
    <w:p>
      <w:pPr>
        <w:spacing w:after="0" w:line="153" w:lineRule="exact"/>
        <w:rPr>
          <w:sz w:val="20"/>
          <w:szCs w:val="20"/>
          <w:color w:val="auto"/>
        </w:rPr>
      </w:pPr>
    </w:p>
    <w:p>
      <w:pPr>
        <w:ind w:right="300" w:firstLine="40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Warranty. </w:t>
      </w:r>
      <w:r>
        <w:rPr>
          <w:rFonts w:ascii="Times New Roman" w:cs="Times New Roman" w:eastAsia="Times New Roman" w:hAnsi="Times New Roman"/>
          <w:sz w:val="18"/>
          <w:szCs w:val="18"/>
          <w:color w:val="auto"/>
        </w:rPr>
        <w:t>We warrant that for the applicable warranty period our products, when properly installed, used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maintained, will be free from material defects in workmanship and materials and our decking, cladding, fascia and railing products will not split, splinter, rot or suffer structural damage from termites or fungal decay.</w:t>
      </w:r>
    </w:p>
    <w:p>
      <w:pPr>
        <w:spacing w:after="0" w:line="135" w:lineRule="exact"/>
        <w:rPr>
          <w:sz w:val="20"/>
          <w:szCs w:val="20"/>
          <w:color w:val="auto"/>
        </w:rPr>
      </w:pPr>
    </w:p>
    <w:p>
      <w:pPr>
        <w:ind w:right="40" w:firstLine="401"/>
        <w:spacing w:after="0" w:line="254" w:lineRule="auto"/>
        <w:rPr>
          <w:sz w:val="20"/>
          <w:szCs w:val="20"/>
          <w:color w:val="auto"/>
        </w:rPr>
      </w:pPr>
      <w:r>
        <w:rPr>
          <w:rFonts w:ascii="Times New Roman" w:cs="Times New Roman" w:eastAsia="Times New Roman" w:hAnsi="Times New Roman"/>
          <w:sz w:val="18"/>
          <w:szCs w:val="18"/>
          <w:color w:val="auto"/>
        </w:rPr>
        <w:t>Products sold on or after January 1, 2023: The warranty period for residential use is 50 years for Transcend</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decking, 35 years for Select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decking and Universal Fascia, and 25 years for Enhance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decking and Transcend, Select, Enhance and Signature</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railing. The warranty period for commercial use is 10 years, excluding Signature railing and Transcend cladding, which each have a warranty period of 25 years. We further warrant that Trex Transcend, Trex Enhance and Trex Select decking and cladding and Universal Fascia products will not fade in color from light and weathering exposure more than a certain amount and will be resistant to permanent staining from food and beverage substances or mold and mildew, provided the stain is cleaned within seven days of appearance, for the warranty period referred to above. If there is a breach of such warranties, we have an obligation either to replace the defective product or refund the purchase price.</w:t>
      </w:r>
    </w:p>
    <w:p>
      <w:pPr>
        <w:spacing w:after="0" w:line="151" w:lineRule="exact"/>
        <w:rPr>
          <w:sz w:val="20"/>
          <w:szCs w:val="20"/>
          <w:color w:val="auto"/>
        </w:rPr>
      </w:pPr>
    </w:p>
    <w:p>
      <w:pPr>
        <w:ind w:firstLine="401"/>
        <w:spacing w:after="0" w:line="256" w:lineRule="auto"/>
        <w:rPr>
          <w:sz w:val="20"/>
          <w:szCs w:val="20"/>
          <w:color w:val="auto"/>
        </w:rPr>
      </w:pPr>
      <w:r>
        <w:rPr>
          <w:rFonts w:ascii="Times New Roman" w:cs="Times New Roman" w:eastAsia="Times New Roman" w:hAnsi="Times New Roman"/>
          <w:sz w:val="18"/>
          <w:szCs w:val="18"/>
          <w:color w:val="auto"/>
        </w:rPr>
        <w:t>Products sold prior to January 1, 2023: The warranty period is 25 years for residential use and 10 years for commercial use. With respect to Trex Signature railing, the warranty period is 25 years for both residential and commercial use. We further warrant that Trex Transcend, Trex Enhance, Trex Select and Universal Fascia products will not fade in color more than a certain amount and will be resistant to permanent staining from food substances or mold, provided the stain is cleaned within seven days of appearance, for the warranty period referred to above. If there is a breach of such warranties, we have an obligation either to replace the defective product or refund the purchase price.</w:t>
      </w:r>
    </w:p>
    <w:p>
      <w:pPr>
        <w:spacing w:after="0" w:line="160" w:lineRule="exact"/>
        <w:rPr>
          <w:sz w:val="20"/>
          <w:szCs w:val="20"/>
          <w:color w:val="auto"/>
        </w:rPr>
      </w:pPr>
    </w:p>
    <w:p>
      <w:pPr>
        <w:jc w:val="both"/>
        <w:ind w:right="200" w:firstLine="401"/>
        <w:spacing w:after="0" w:line="257" w:lineRule="auto"/>
        <w:rPr>
          <w:sz w:val="20"/>
          <w:szCs w:val="20"/>
          <w:color w:val="auto"/>
        </w:rPr>
      </w:pPr>
      <w:r>
        <w:rPr>
          <w:rFonts w:ascii="Times New Roman" w:cs="Times New Roman" w:eastAsia="Times New Roman" w:hAnsi="Times New Roman"/>
          <w:sz w:val="18"/>
          <w:szCs w:val="18"/>
          <w:color w:val="auto"/>
        </w:rPr>
        <w:t>We maintain a warranty reserve for the settlement of our product warranty claims. We accrue for the estimated cost of product warranty claims at the time revenue is recognized based on such factors as historical claims experience and estimated future claims. We review and adjust these estimates, if necessary, based on the differences between actual experience and historical estimates.</w:t>
      </w:r>
    </w:p>
    <w:p>
      <w:pPr>
        <w:spacing w:after="0" w:line="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Additionally, we accrue for warranty costs associated with occasional or unanticipated product quality issues if a loss is probable and can be reasonably estimated.</w:t>
      </w:r>
    </w:p>
    <w:p>
      <w:pPr>
        <w:spacing w:after="0" w:line="141" w:lineRule="exact"/>
        <w:rPr>
          <w:sz w:val="20"/>
          <w:szCs w:val="20"/>
          <w:color w:val="auto"/>
        </w:rPr>
      </w:pPr>
    </w:p>
    <w:p>
      <w:pPr>
        <w:jc w:val="both"/>
        <w:ind w:right="380" w:firstLine="401"/>
        <w:spacing w:after="0" w:line="261" w:lineRule="auto"/>
        <w:rPr>
          <w:sz w:val="20"/>
          <w:szCs w:val="20"/>
          <w:color w:val="auto"/>
        </w:rPr>
      </w:pPr>
      <w:r>
        <w:rPr>
          <w:rFonts w:ascii="Times New Roman" w:cs="Times New Roman" w:eastAsia="Times New Roman" w:hAnsi="Times New Roman"/>
          <w:sz w:val="18"/>
          <w:szCs w:val="18"/>
          <w:color w:val="auto"/>
        </w:rPr>
        <w:t>We continue to receive and settle claims for decking products manufactured at our Nevada facility prior to 2007 that exhibit surface flaking and maintain a warranty reserve to provide for the settlement of these claims. Estimating the warranty reserve for surface flaking claims requires us to estimate the number of claims to be settled with payment and the average cost to settle each claim. We monitor surface flaking claims activity each quarter for indications that our estimates require revision.</w:t>
      </w:r>
    </w:p>
    <w:p>
      <w:pPr>
        <w:spacing w:after="0" w:line="137" w:lineRule="exact"/>
        <w:rPr>
          <w:sz w:val="20"/>
          <w:szCs w:val="20"/>
          <w:color w:val="auto"/>
        </w:rPr>
      </w:pPr>
    </w:p>
    <w:p>
      <w:pPr>
        <w:ind w:right="20" w:firstLine="401"/>
        <w:spacing w:after="0" w:line="261" w:lineRule="auto"/>
        <w:rPr>
          <w:sz w:val="20"/>
          <w:szCs w:val="20"/>
          <w:color w:val="auto"/>
        </w:rPr>
      </w:pPr>
      <w:r>
        <w:rPr>
          <w:rFonts w:ascii="Times New Roman" w:cs="Times New Roman" w:eastAsia="Times New Roman" w:hAnsi="Times New Roman"/>
          <w:sz w:val="18"/>
          <w:szCs w:val="18"/>
          <w:i w:val="1"/>
          <w:iCs w:val="1"/>
          <w:color w:val="auto"/>
        </w:rPr>
        <w:t>Seasonality</w:t>
      </w:r>
      <w:r>
        <w:rPr>
          <w:rFonts w:ascii="Times New Roman" w:cs="Times New Roman" w:eastAsia="Times New Roman" w:hAnsi="Times New Roman"/>
          <w:sz w:val="18"/>
          <w:szCs w:val="18"/>
          <w:color w:val="auto"/>
        </w:rPr>
        <w:t>. The operating results for Trex have historically varied from quarter to quarter. Seasonal, erratic or prolonged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adverse weather conditions in certain geographic regions may reduce the level of home improvement and construction activity and can shift sales of our products to a later period or decrease overall sales in affected locations. As part of its normal business practice and consistent with industry practice, Trex has historically offered incentive programs to its distributors and dealers to build inventory</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199" w:right="1099" w:bottom="1440" w:gutter="0" w:footer="0" w:header="0"/>
        </w:sectPr>
      </w:pPr>
    </w:p>
    <w:bookmarkStart w:id="23" w:name="page24"/>
    <w:bookmarkEnd w:id="23"/>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levels before the start of the prime deck-building season in order to ensure adequate availability of its product to meet anticipated seasonal consumer demand. The seasonal effects are often offset by the positive effect of the incentive programs.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jc w:val="both"/>
        <w:ind w:right="280" w:firstLine="401"/>
        <w:spacing w:after="0" w:line="266"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risks, see “Quantitative and Qualitative Disclosures about Market Risk,” in Part II, Item 7A of the Company’s Annual Report on Form 10-K for the year ended December 31, 2024. There were no material changes to the Company’s market risk exposure during the three months ended March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02" w:lineRule="exact"/>
        <w:rPr>
          <w:sz w:val="20"/>
          <w:szCs w:val="20"/>
          <w:color w:val="auto"/>
        </w:rPr>
      </w:pPr>
    </w:p>
    <w:p>
      <w:pPr>
        <w:ind w:firstLine="401"/>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its President and Chief Executive Officer, who is the Company’s principal executive officer, and its Senior Vice President and Chief Financial Officer, who is the Company’s principal financial officer, has evaluated the effectiveness of the Company’s disclosure controls and procedures as of March 31, 2025. Based on this evaluation, the President and Chief Executive Officer and the Senior Vice President and Chief Financial Officer have concluded that the Company’s disclosure controls and procedures are effective. There have been no changes in the Company’s internal control over financial reporting during the three-month period ended March 31, 2025, that have materially affected, or are reasonably likely to materially affect, the Company’s internal control over financial reporting.</w:t>
      </w:r>
    </w:p>
    <w:p>
      <w:pPr>
        <w:spacing w:after="0" w:line="18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60"/>
          </w:cols>
          <w:pgMar w:left="1080" w:top="1161" w:right="125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ind w:right="60" w:firstLine="401"/>
        <w:spacing w:after="0" w:line="289" w:lineRule="auto"/>
        <w:rPr>
          <w:sz w:val="20"/>
          <w:szCs w:val="20"/>
          <w:color w:val="auto"/>
        </w:rPr>
      </w:pPr>
      <w:r>
        <w:rPr>
          <w:rFonts w:ascii="Times New Roman" w:cs="Times New Roman" w:eastAsia="Times New Roman" w:hAnsi="Times New Roman"/>
          <w:sz w:val="17"/>
          <w:szCs w:val="17"/>
          <w:color w:val="auto"/>
        </w:rPr>
        <w:t>The Company has lawsuits, as well as other claims, pending against it which are ordinary routine litigation and claims incidental to the business. Management has evaluated the merits of these lawsuits and claims and believes that their ultimate resolution will not have a material effect on the Company’s consolidated financial condition, results of operations, liquidity or competitive position.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9" w:lineRule="exact"/>
        <w:rPr>
          <w:sz w:val="20"/>
          <w:szCs w:val="20"/>
          <w:color w:val="auto"/>
        </w:rPr>
      </w:pPr>
    </w:p>
    <w:p>
      <w:pPr>
        <w:ind w:left="400" w:right="220" w:hanging="396"/>
        <w:spacing w:after="0" w:line="282" w:lineRule="auto"/>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relating to the purchases of our common stock during the three months ended March 31, 2025 in accordance with Item 703 of Regulation S-K:</w:t>
      </w:r>
    </w:p>
    <w:p>
      <w:pPr>
        <w:spacing w:after="0" w:line="14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(c)</w:t>
            </w:r>
          </w:p>
        </w:tc>
        <w:tc>
          <w:tcPr>
            <w:tcW w:w="80" w:type="dxa"/>
            <w:vAlign w:val="bottom"/>
          </w:tcPr>
          <w:p>
            <w:pPr>
              <w:spacing w:after="0"/>
              <w:rPr>
                <w:sz w:val="13"/>
                <w:szCs w:val="13"/>
                <w:color w:val="auto"/>
              </w:rPr>
            </w:pPr>
          </w:p>
        </w:tc>
        <w:tc>
          <w:tcPr>
            <w:tcW w:w="1480" w:type="dxa"/>
            <w:vAlign w:val="bottom"/>
            <w:vMerge w:val="restart"/>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2"/>
                <w:szCs w:val="12"/>
                <w:color w:val="auto"/>
              </w:rPr>
            </w:pPr>
          </w:p>
        </w:tc>
        <w:tc>
          <w:tcPr>
            <w:tcW w:w="14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80" w:type="dxa"/>
            <w:vAlign w:val="bottom"/>
          </w:tcPr>
          <w:p>
            <w:pPr>
              <w:spacing w:after="0"/>
              <w:rPr>
                <w:sz w:val="12"/>
                <w:szCs w:val="12"/>
                <w:color w:val="auto"/>
              </w:rPr>
            </w:pPr>
          </w:p>
        </w:tc>
        <w:tc>
          <w:tcPr>
            <w:tcW w:w="14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80" w:type="dxa"/>
            <w:vAlign w:val="bottom"/>
          </w:tcPr>
          <w:p>
            <w:pPr>
              <w:spacing w:after="0"/>
              <w:rPr>
                <w:sz w:val="12"/>
                <w:szCs w:val="12"/>
                <w:color w:val="auto"/>
              </w:rPr>
            </w:pPr>
          </w:p>
        </w:tc>
        <w:tc>
          <w:tcPr>
            <w:tcW w:w="14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80" w:type="dxa"/>
            <w:vAlign w:val="bottom"/>
          </w:tcPr>
          <w:p>
            <w:pPr>
              <w:spacing w:after="0"/>
              <w:rPr>
                <w:sz w:val="12"/>
                <w:szCs w:val="12"/>
                <w:color w:val="auto"/>
              </w:rPr>
            </w:pPr>
          </w:p>
        </w:tc>
        <w:tc>
          <w:tcPr>
            <w:tcW w:w="14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80" w:type="dxa"/>
            <w:vAlign w:val="bottom"/>
          </w:tcPr>
          <w:p>
            <w:pPr>
              <w:spacing w:after="0"/>
              <w:rPr>
                <w:sz w:val="12"/>
                <w:szCs w:val="12"/>
                <w:color w:val="auto"/>
              </w:rPr>
            </w:pPr>
          </w:p>
        </w:tc>
        <w:tc>
          <w:tcPr>
            <w:tcW w:w="14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2"/>
                <w:szCs w:val="12"/>
                <w:color w:val="auto"/>
              </w:rPr>
            </w:pPr>
          </w:p>
        </w:tc>
        <w:tc>
          <w:tcPr>
            <w:tcW w:w="11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80" w:type="dxa"/>
            <w:vAlign w:val="bottom"/>
          </w:tcPr>
          <w:p>
            <w:pPr>
              <w:spacing w:after="0"/>
              <w:rPr>
                <w:sz w:val="12"/>
                <w:szCs w:val="12"/>
                <w:color w:val="auto"/>
              </w:rPr>
            </w:pPr>
          </w:p>
        </w:tc>
        <w:tc>
          <w:tcPr>
            <w:tcW w:w="14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8"/>
        </w:trPr>
        <w:tc>
          <w:tcPr>
            <w:tcW w:w="3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140" w:type="dxa"/>
            <w:vAlign w:val="bottom"/>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2"/>
                <w:szCs w:val="12"/>
                <w:color w:val="auto"/>
              </w:rPr>
            </w:pPr>
          </w:p>
        </w:tc>
        <w:tc>
          <w:tcPr>
            <w:tcW w:w="1160" w:type="dxa"/>
            <w:vAlign w:val="bottom"/>
          </w:tcPr>
          <w:p>
            <w:pPr>
              <w:jc w:val="center"/>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80" w:type="dxa"/>
            <w:vAlign w:val="bottom"/>
          </w:tcPr>
          <w:p>
            <w:pPr>
              <w:spacing w:after="0"/>
              <w:rPr>
                <w:sz w:val="12"/>
                <w:szCs w:val="12"/>
                <w:color w:val="auto"/>
              </w:rPr>
            </w:pPr>
          </w:p>
        </w:tc>
        <w:tc>
          <w:tcPr>
            <w:tcW w:w="148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w:t>
            </w:r>
          </w:p>
        </w:tc>
        <w:tc>
          <w:tcPr>
            <w:tcW w:w="0" w:type="dxa"/>
            <w:vAlign w:val="bottom"/>
          </w:tcPr>
          <w:p>
            <w:pPr>
              <w:spacing w:after="0"/>
              <w:rPr>
                <w:sz w:val="1"/>
                <w:szCs w:val="1"/>
                <w:color w:val="auto"/>
              </w:rPr>
            </w:pPr>
          </w:p>
        </w:tc>
      </w:tr>
      <w:tr>
        <w:trPr>
          <w:trHeight w:val="173"/>
        </w:trPr>
        <w:tc>
          <w:tcPr>
            <w:tcW w:w="34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 Unit) ($)</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80" w:type="dxa"/>
            <w:vAlign w:val="bottom"/>
          </w:tcPr>
          <w:p>
            <w:pPr>
              <w:spacing w:after="0"/>
              <w:rPr>
                <w:sz w:val="15"/>
                <w:szCs w:val="15"/>
                <w:color w:val="auto"/>
              </w:rPr>
            </w:pPr>
          </w:p>
        </w:tc>
        <w:tc>
          <w:tcPr>
            <w:tcW w:w="14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or Program</w:t>
            </w:r>
          </w:p>
        </w:tc>
        <w:tc>
          <w:tcPr>
            <w:tcW w:w="0" w:type="dxa"/>
            <w:vAlign w:val="bottom"/>
          </w:tcPr>
          <w:p>
            <w:pPr>
              <w:spacing w:after="0"/>
              <w:rPr>
                <w:sz w:val="1"/>
                <w:szCs w:val="1"/>
                <w:color w:val="auto"/>
              </w:rPr>
            </w:pPr>
          </w:p>
        </w:tc>
      </w:tr>
      <w:tr>
        <w:trPr>
          <w:trHeight w:val="209"/>
        </w:trPr>
        <w:tc>
          <w:tcPr>
            <w:tcW w:w="3440" w:type="dxa"/>
            <w:vAlign w:val="bottom"/>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00" w:type="dxa"/>
            <w:vAlign w:val="bottom"/>
            <w:shd w:val="clear" w:color="auto" w:fill="DBE5F1"/>
          </w:tcPr>
          <w:p>
            <w:pPr>
              <w:spacing w:after="0"/>
              <w:rPr>
                <w:sz w:val="18"/>
                <w:szCs w:val="18"/>
                <w:color w:val="auto"/>
              </w:rPr>
            </w:pPr>
          </w:p>
        </w:tc>
        <w:tc>
          <w:tcPr>
            <w:tcW w:w="1140" w:type="dxa"/>
            <w:vAlign w:val="bottom"/>
            <w:shd w:val="clear" w:color="auto" w:fill="DBE5F1"/>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18"/>
                <w:szCs w:val="18"/>
                <w:color w:val="auto"/>
              </w:rPr>
            </w:pPr>
          </w:p>
        </w:tc>
        <w:tc>
          <w:tcPr>
            <w:tcW w:w="1160" w:type="dxa"/>
            <w:vAlign w:val="bottom"/>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BE5F1"/>
          </w:tcPr>
          <w:p>
            <w:pPr>
              <w:spacing w:after="0"/>
              <w:rPr>
                <w:sz w:val="18"/>
                <w:szCs w:val="18"/>
                <w:color w:val="auto"/>
              </w:rPr>
            </w:pPr>
          </w:p>
        </w:tc>
        <w:tc>
          <w:tcPr>
            <w:tcW w:w="1160" w:type="dxa"/>
            <w:vAlign w:val="bottom"/>
            <w:shd w:val="clear" w:color="auto" w:fill="DBE5F1"/>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DBE5F1"/>
          </w:tcPr>
          <w:p>
            <w:pPr>
              <w:jc w:val="right"/>
              <w:ind w:right="6"/>
              <w:spacing w:after="0"/>
              <w:rPr>
                <w:sz w:val="20"/>
                <w:szCs w:val="20"/>
                <w:color w:val="auto"/>
              </w:rPr>
            </w:pPr>
            <w:r>
              <w:rPr>
                <w:rFonts w:ascii="Times New Roman" w:cs="Times New Roman" w:eastAsia="Times New Roman" w:hAnsi="Times New Roman"/>
                <w:sz w:val="18"/>
                <w:szCs w:val="18"/>
                <w:color w:val="auto"/>
              </w:rPr>
              <w:t>8,954,464</w:t>
            </w: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
              <w:spacing w:after="0"/>
              <w:rPr>
                <w:sz w:val="20"/>
                <w:szCs w:val="20"/>
                <w:color w:val="auto"/>
              </w:rPr>
            </w:pPr>
            <w:r>
              <w:rPr>
                <w:rFonts w:ascii="Times New Roman" w:cs="Times New Roman" w:eastAsia="Times New Roman" w:hAnsi="Times New Roman"/>
                <w:sz w:val="18"/>
                <w:szCs w:val="18"/>
                <w:color w:val="auto"/>
              </w:rPr>
              <w:t>8,954,464</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DBE5F1"/>
            </w:tcBorders>
            <w:shd w:val="clear" w:color="auto" w:fill="DBE5F1"/>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00" w:type="dxa"/>
            <w:vAlign w:val="bottom"/>
            <w:tcBorders>
              <w:bottom w:val="single" w:sz="8" w:color="DBE5F1"/>
            </w:tcBorders>
            <w:shd w:val="clear" w:color="auto" w:fill="DBE5F1"/>
          </w:tcPr>
          <w:p>
            <w:pPr>
              <w:spacing w:after="0"/>
              <w:rPr>
                <w:sz w:val="18"/>
                <w:szCs w:val="18"/>
                <w:color w:val="auto"/>
              </w:rPr>
            </w:pPr>
          </w:p>
        </w:tc>
        <w:tc>
          <w:tcPr>
            <w:tcW w:w="1140" w:type="dxa"/>
            <w:vAlign w:val="bottom"/>
            <w:tcBorders>
              <w:bottom w:val="single" w:sz="8" w:color="auto"/>
            </w:tcBorders>
            <w:shd w:val="clear" w:color="auto" w:fill="DBE5F1"/>
          </w:tcPr>
          <w:p>
            <w:pPr>
              <w:jc w:val="right"/>
              <w:ind w:right="1"/>
              <w:spacing w:after="0"/>
              <w:rPr>
                <w:sz w:val="20"/>
                <w:szCs w:val="20"/>
                <w:color w:val="auto"/>
              </w:rPr>
            </w:pPr>
            <w:r>
              <w:rPr>
                <w:rFonts w:ascii="Times New Roman" w:cs="Times New Roman" w:eastAsia="Times New Roman" w:hAnsi="Times New Roman"/>
                <w:sz w:val="18"/>
                <w:szCs w:val="18"/>
                <w:color w:val="auto"/>
              </w:rPr>
              <w:t>49,949</w:t>
            </w:r>
          </w:p>
        </w:tc>
        <w:tc>
          <w:tcPr>
            <w:tcW w:w="100" w:type="dxa"/>
            <w:vAlign w:val="bottom"/>
            <w:tcBorders>
              <w:bottom w:val="single" w:sz="8" w:color="DBE5F1"/>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jc w:val="right"/>
              <w:spacing w:after="0"/>
              <w:rPr>
                <w:sz w:val="20"/>
                <w:szCs w:val="20"/>
                <w:color w:val="auto"/>
              </w:rPr>
            </w:pPr>
            <w:r>
              <w:rPr>
                <w:rFonts w:ascii="Times New Roman" w:cs="Times New Roman" w:eastAsia="Times New Roman" w:hAnsi="Times New Roman"/>
                <w:sz w:val="18"/>
                <w:szCs w:val="18"/>
                <w:color w:val="auto"/>
              </w:rPr>
              <w:t>62.28</w:t>
            </w:r>
          </w:p>
        </w:tc>
        <w:tc>
          <w:tcPr>
            <w:tcW w:w="100" w:type="dxa"/>
            <w:vAlign w:val="bottom"/>
            <w:tcBorders>
              <w:bottom w:val="single" w:sz="8" w:color="DBE5F1"/>
            </w:tcBorders>
            <w:shd w:val="clear" w:color="auto" w:fill="DBE5F1"/>
          </w:tcPr>
          <w:p>
            <w:pPr>
              <w:spacing w:after="0"/>
              <w:rPr>
                <w:sz w:val="18"/>
                <w:szCs w:val="18"/>
                <w:color w:val="auto"/>
              </w:rPr>
            </w:pPr>
          </w:p>
        </w:tc>
        <w:tc>
          <w:tcPr>
            <w:tcW w:w="1160" w:type="dxa"/>
            <w:vAlign w:val="bottom"/>
            <w:tcBorders>
              <w:bottom w:val="single" w:sz="8" w:color="auto"/>
            </w:tcBorders>
            <w:shd w:val="clear" w:color="auto" w:fill="DBE5F1"/>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BE5F1"/>
            </w:tcBorders>
            <w:shd w:val="clear" w:color="auto" w:fill="DBE5F1"/>
          </w:tcPr>
          <w:p>
            <w:pPr>
              <w:spacing w:after="0"/>
              <w:rPr>
                <w:sz w:val="18"/>
                <w:szCs w:val="18"/>
                <w:color w:val="auto"/>
              </w:rPr>
            </w:pPr>
          </w:p>
        </w:tc>
        <w:tc>
          <w:tcPr>
            <w:tcW w:w="1480" w:type="dxa"/>
            <w:vAlign w:val="bottom"/>
            <w:tcBorders>
              <w:bottom w:val="single" w:sz="8" w:color="auto"/>
            </w:tcBorders>
            <w:shd w:val="clear" w:color="auto" w:fill="DBE5F1"/>
          </w:tcPr>
          <w:p>
            <w:pPr>
              <w:jc w:val="right"/>
              <w:ind w:right="6"/>
              <w:spacing w:after="0"/>
              <w:rPr>
                <w:sz w:val="20"/>
                <w:szCs w:val="20"/>
                <w:color w:val="auto"/>
              </w:rPr>
            </w:pPr>
            <w:r>
              <w:rPr>
                <w:rFonts w:ascii="Times New Roman" w:cs="Times New Roman" w:eastAsia="Times New Roman" w:hAnsi="Times New Roman"/>
                <w:sz w:val="18"/>
                <w:szCs w:val="18"/>
                <w:color w:val="auto"/>
              </w:rPr>
              <w:t>8,954,464</w:t>
            </w: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period ended March 31, 2025</w:t>
            </w: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49,949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-170815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4074160</wp:posOffset>
            </wp:positionH>
            <wp:positionV relativeFrom="paragraph">
              <wp:posOffset>-170815</wp:posOffset>
            </wp:positionV>
            <wp:extent cx="603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4871720</wp:posOffset>
            </wp:positionH>
            <wp:positionV relativeFrom="paragraph">
              <wp:posOffset>-170815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111760</wp:posOffset>
            </wp:positionV>
            <wp:extent cx="16459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82" w:lineRule="exact"/>
        <w:rPr>
          <w:sz w:val="20"/>
          <w:szCs w:val="20"/>
          <w:color w:val="auto"/>
        </w:rPr>
      </w:pPr>
    </w:p>
    <w:p>
      <w:pPr>
        <w:ind w:left="320" w:right="420" w:hanging="316"/>
        <w:spacing w:after="0" w:line="267"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three months ended March 31, 2025, 49,949 shares were withheld by, or delivered to, the Company pursuant to provisions in agreements with recipients of restricted stock granted under the Company’s 2014 and 2023 Stock Incentive Plan allowing the Company to withhold, or the recipient to deliver to the Company, the number of shares having the fair value equal to tax withholding due.</w:t>
      </w:r>
    </w:p>
    <w:p>
      <w:pPr>
        <w:spacing w:after="0" w:line="1" w:lineRule="exact"/>
        <w:rPr>
          <w:rFonts w:ascii="Times New Roman" w:cs="Times New Roman" w:eastAsia="Times New Roman" w:hAnsi="Times New Roman"/>
          <w:sz w:val="16"/>
          <w:szCs w:val="16"/>
          <w:color w:val="auto"/>
        </w:rPr>
      </w:pPr>
    </w:p>
    <w:p>
      <w:pPr>
        <w:ind w:left="320" w:right="160" w:hanging="316"/>
        <w:spacing w:after="0" w:line="276" w:lineRule="auto"/>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4, 2023, the Trex Board of Directors adopted a new stock repurchase program of up to 10.8 million shares of its outstanding common stock, and terminated the existing Stock Repurchase Program. This repurchase program has no set expiration date and no shares were repurchased under the program during the three months ended March 31,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w:t>
      </w:r>
    </w:p>
    <w:p>
      <w:pPr>
        <w:spacing w:after="0" w:line="187" w:lineRule="exact"/>
        <w:rPr>
          <w:sz w:val="20"/>
          <w:szCs w:val="20"/>
          <w:color w:val="auto"/>
        </w:rPr>
      </w:pPr>
    </w:p>
    <w:p>
      <w:pPr>
        <w:ind w:right="80" w:firstLine="401"/>
        <w:spacing w:after="0" w:line="261" w:lineRule="auto"/>
        <w:rPr>
          <w:sz w:val="20"/>
          <w:szCs w:val="20"/>
          <w:color w:val="auto"/>
        </w:rPr>
      </w:pPr>
      <w:r>
        <w:rPr>
          <w:rFonts w:ascii="Times New Roman" w:cs="Times New Roman" w:eastAsia="Times New Roman" w:hAnsi="Times New Roman"/>
          <w:sz w:val="18"/>
          <w:szCs w:val="18"/>
          <w:color w:val="auto"/>
        </w:rPr>
        <w:t>During the quarter ended March 31, 2025,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Submission of Matters to a Vote of Security Holders</w:t>
      </w:r>
    </w:p>
    <w:p>
      <w:pPr>
        <w:spacing w:after="0" w:line="160" w:lineRule="exact"/>
        <w:rPr>
          <w:sz w:val="20"/>
          <w:szCs w:val="20"/>
          <w:color w:val="auto"/>
        </w:rPr>
      </w:pPr>
    </w:p>
    <w:p>
      <w:pPr>
        <w:ind w:right="140" w:firstLine="401"/>
        <w:spacing w:after="0" w:line="261" w:lineRule="auto"/>
        <w:rPr>
          <w:sz w:val="20"/>
          <w:szCs w:val="20"/>
          <w:color w:val="auto"/>
        </w:rPr>
      </w:pPr>
      <w:r>
        <w:rPr>
          <w:rFonts w:ascii="Times New Roman" w:cs="Times New Roman" w:eastAsia="Times New Roman" w:hAnsi="Times New Roman"/>
          <w:sz w:val="18"/>
          <w:szCs w:val="18"/>
          <w:color w:val="auto"/>
        </w:rPr>
        <w:t>Trex held its Annual Meeting of Stockholders on May 6, 2025. Only holders of Trex common stock at the close of business on March 10, 2025 (Record Date) were entitled to vote at the Annual Meeting. As of the Record Date, there were 107,219,921 shares of common stock entitled to vote. A total of 98,384,912 shares of common stock (91.8%), constituting a quorum, were represented in person or by valid proxies at the Annual Meeting.</w:t>
      </w:r>
    </w:p>
    <w:p>
      <w:pPr>
        <w:spacing w:after="0" w:line="112" w:lineRule="exact"/>
        <w:rPr>
          <w:sz w:val="20"/>
          <w:szCs w:val="20"/>
          <w:color w:val="auto"/>
        </w:rPr>
      </w:pPr>
    </w:p>
    <w:p>
      <w:pPr>
        <w:ind w:right="560" w:firstLine="401"/>
        <w:spacing w:after="0" w:line="312" w:lineRule="auto"/>
        <w:rPr>
          <w:sz w:val="20"/>
          <w:szCs w:val="20"/>
          <w:color w:val="auto"/>
        </w:rPr>
      </w:pPr>
      <w:r>
        <w:rPr>
          <w:rFonts w:ascii="Times New Roman" w:cs="Times New Roman" w:eastAsia="Times New Roman" w:hAnsi="Times New Roman"/>
          <w:sz w:val="17"/>
          <w:szCs w:val="17"/>
          <w:color w:val="auto"/>
        </w:rPr>
        <w:t>The stockholders voted on three proposals at the Annual Meeting. The proposals are described in detail in the Company’s definitive proxy statement dated March 24, 2025. The final results for the votes regarding each proposal are set forth below.</w:t>
      </w:r>
    </w:p>
    <w:p>
      <w:pPr>
        <w:spacing w:after="0" w:line="55" w:lineRule="exact"/>
        <w:rPr>
          <w:sz w:val="20"/>
          <w:szCs w:val="20"/>
          <w:color w:val="auto"/>
        </w:rPr>
      </w:pPr>
    </w:p>
    <w:p>
      <w:pPr>
        <w:ind w:firstLine="40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Trex stockholders elected three directors to the Board to serve for a three-year term until the 2028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and until their successors are duly elected and qualified. The votes regarding this proposal were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25" w:name="page26"/>
    <w:bookmarkEnd w:id="25"/>
    <w:tbl>
      <w:tblPr>
        <w:tblLayout w:type="fixed"/>
        <w:tblInd w:w="98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80" w:type="dxa"/>
            <w:vAlign w:val="bottom"/>
          </w:tcPr>
          <w:p>
            <w:pPr>
              <w:spacing w:after="0"/>
              <w:rPr>
                <w:sz w:val="15"/>
                <w:szCs w:val="15"/>
                <w:color w:val="auto"/>
              </w:rPr>
            </w:pPr>
          </w:p>
        </w:tc>
        <w:tc>
          <w:tcPr>
            <w:tcW w:w="13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32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Bryan H. Fairbanks</w:t>
            </w:r>
          </w:p>
        </w:tc>
        <w:tc>
          <w:tcPr>
            <w:tcW w:w="1020" w:type="dxa"/>
            <w:vAlign w:val="bottom"/>
            <w:shd w:val="clear" w:color="auto" w:fill="DBE5F1"/>
          </w:tcPr>
          <w:p>
            <w:pPr>
              <w:jc w:val="right"/>
              <w:ind w:right="15"/>
              <w:spacing w:after="0"/>
              <w:rPr>
                <w:sz w:val="20"/>
                <w:szCs w:val="20"/>
                <w:color w:val="auto"/>
              </w:rPr>
            </w:pPr>
            <w:r>
              <w:rPr>
                <w:rFonts w:ascii="Times New Roman" w:cs="Times New Roman" w:eastAsia="Times New Roman" w:hAnsi="Times New Roman"/>
                <w:sz w:val="18"/>
                <w:szCs w:val="18"/>
                <w:color w:val="auto"/>
              </w:rPr>
              <w:t>90,434,504</w:t>
            </w:r>
          </w:p>
        </w:tc>
        <w:tc>
          <w:tcPr>
            <w:tcW w:w="1080" w:type="dxa"/>
            <w:vAlign w:val="bottom"/>
            <w:gridSpan w:val="2"/>
            <w:shd w:val="clear" w:color="auto" w:fill="DBE5F1"/>
          </w:tcPr>
          <w:p>
            <w:pPr>
              <w:jc w:val="right"/>
              <w:ind w:right="8"/>
              <w:spacing w:after="0"/>
              <w:rPr>
                <w:sz w:val="20"/>
                <w:szCs w:val="20"/>
                <w:color w:val="auto"/>
              </w:rPr>
            </w:pPr>
            <w:r>
              <w:rPr>
                <w:rFonts w:ascii="Times New Roman" w:cs="Times New Roman" w:eastAsia="Times New Roman" w:hAnsi="Times New Roman"/>
                <w:sz w:val="18"/>
                <w:szCs w:val="18"/>
                <w:color w:val="auto"/>
              </w:rPr>
              <w:t>1,710,655</w:t>
            </w:r>
          </w:p>
        </w:tc>
        <w:tc>
          <w:tcPr>
            <w:tcW w:w="1080" w:type="dxa"/>
            <w:vAlign w:val="bottom"/>
            <w:gridSpan w:val="2"/>
            <w:shd w:val="clear" w:color="auto" w:fill="DBE5F1"/>
          </w:tcPr>
          <w:p>
            <w:pPr>
              <w:jc w:val="right"/>
              <w:ind w:right="8"/>
              <w:spacing w:after="0"/>
              <w:rPr>
                <w:sz w:val="20"/>
                <w:szCs w:val="20"/>
                <w:color w:val="auto"/>
              </w:rPr>
            </w:pPr>
            <w:r>
              <w:rPr>
                <w:rFonts w:ascii="Times New Roman" w:cs="Times New Roman" w:eastAsia="Times New Roman" w:hAnsi="Times New Roman"/>
                <w:sz w:val="18"/>
                <w:szCs w:val="18"/>
                <w:color w:val="auto"/>
              </w:rPr>
              <w:t>102,035</w:t>
            </w:r>
          </w:p>
        </w:tc>
        <w:tc>
          <w:tcPr>
            <w:tcW w:w="1380" w:type="dxa"/>
            <w:vAlign w:val="bottom"/>
            <w:gridSpan w:val="2"/>
            <w:shd w:val="clear" w:color="auto" w:fill="DBE5F1"/>
          </w:tcPr>
          <w:p>
            <w:pPr>
              <w:jc w:val="right"/>
              <w:ind w:right="8"/>
              <w:spacing w:after="0"/>
              <w:rPr>
                <w:sz w:val="20"/>
                <w:szCs w:val="20"/>
                <w:color w:val="auto"/>
              </w:rPr>
            </w:pPr>
            <w:r>
              <w:rPr>
                <w:rFonts w:ascii="Times New Roman" w:cs="Times New Roman" w:eastAsia="Times New Roman" w:hAnsi="Times New Roman"/>
                <w:sz w:val="18"/>
                <w:szCs w:val="18"/>
                <w:color w:val="auto"/>
              </w:rPr>
              <w:t>6,137,718</w:t>
            </w: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Kristine L. Juster</w:t>
            </w: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78,964,624</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13,068,438</w:t>
            </w:r>
          </w:p>
        </w:tc>
        <w:tc>
          <w:tcPr>
            <w:tcW w:w="10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214,132</w:t>
            </w:r>
          </w:p>
        </w:tc>
        <w:tc>
          <w:tcPr>
            <w:tcW w:w="13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6,137,718</w:t>
            </w:r>
          </w:p>
        </w:tc>
      </w:tr>
      <w:tr>
        <w:trPr>
          <w:trHeight w:val="216"/>
        </w:trPr>
        <w:tc>
          <w:tcPr>
            <w:tcW w:w="3220" w:type="dxa"/>
            <w:vAlign w:val="bottom"/>
            <w:shd w:val="clear" w:color="auto" w:fill="DBE5F1"/>
          </w:tcPr>
          <w:p>
            <w:pPr>
              <w:spacing w:after="0"/>
              <w:rPr>
                <w:sz w:val="20"/>
                <w:szCs w:val="20"/>
                <w:color w:val="auto"/>
              </w:rPr>
            </w:pPr>
            <w:r>
              <w:rPr>
                <w:rFonts w:ascii="Times New Roman" w:cs="Times New Roman" w:eastAsia="Times New Roman" w:hAnsi="Times New Roman"/>
                <w:sz w:val="18"/>
                <w:szCs w:val="18"/>
                <w:color w:val="auto"/>
              </w:rPr>
              <w:t>D. Christian Keffer</w:t>
            </w:r>
          </w:p>
        </w:tc>
        <w:tc>
          <w:tcPr>
            <w:tcW w:w="1020" w:type="dxa"/>
            <w:vAlign w:val="bottom"/>
            <w:shd w:val="clear" w:color="auto" w:fill="DBE5F1"/>
          </w:tcPr>
          <w:p>
            <w:pPr>
              <w:jc w:val="right"/>
              <w:ind w:right="15"/>
              <w:spacing w:after="0"/>
              <w:rPr>
                <w:sz w:val="20"/>
                <w:szCs w:val="20"/>
                <w:color w:val="auto"/>
              </w:rPr>
            </w:pPr>
            <w:r>
              <w:rPr>
                <w:rFonts w:ascii="Times New Roman" w:cs="Times New Roman" w:eastAsia="Times New Roman" w:hAnsi="Times New Roman"/>
                <w:sz w:val="18"/>
                <w:szCs w:val="18"/>
                <w:color w:val="auto"/>
              </w:rPr>
              <w:t>90,477,067</w:t>
            </w:r>
          </w:p>
        </w:tc>
        <w:tc>
          <w:tcPr>
            <w:tcW w:w="1080" w:type="dxa"/>
            <w:vAlign w:val="bottom"/>
            <w:gridSpan w:val="2"/>
            <w:shd w:val="clear" w:color="auto" w:fill="DBE5F1"/>
          </w:tcPr>
          <w:p>
            <w:pPr>
              <w:jc w:val="right"/>
              <w:ind w:right="8"/>
              <w:spacing w:after="0"/>
              <w:rPr>
                <w:sz w:val="20"/>
                <w:szCs w:val="20"/>
                <w:color w:val="auto"/>
              </w:rPr>
            </w:pPr>
            <w:r>
              <w:rPr>
                <w:rFonts w:ascii="Times New Roman" w:cs="Times New Roman" w:eastAsia="Times New Roman" w:hAnsi="Times New Roman"/>
                <w:sz w:val="18"/>
                <w:szCs w:val="18"/>
                <w:color w:val="auto"/>
              </w:rPr>
              <w:t>1,675,491</w:t>
            </w:r>
          </w:p>
        </w:tc>
        <w:tc>
          <w:tcPr>
            <w:tcW w:w="1080" w:type="dxa"/>
            <w:vAlign w:val="bottom"/>
            <w:gridSpan w:val="2"/>
            <w:shd w:val="clear" w:color="auto" w:fill="DBE5F1"/>
          </w:tcPr>
          <w:p>
            <w:pPr>
              <w:jc w:val="right"/>
              <w:ind w:right="8"/>
              <w:spacing w:after="0"/>
              <w:rPr>
                <w:sz w:val="20"/>
                <w:szCs w:val="20"/>
                <w:color w:val="auto"/>
              </w:rPr>
            </w:pPr>
            <w:r>
              <w:rPr>
                <w:rFonts w:ascii="Times New Roman" w:cs="Times New Roman" w:eastAsia="Times New Roman" w:hAnsi="Times New Roman"/>
                <w:sz w:val="18"/>
                <w:szCs w:val="18"/>
                <w:color w:val="auto"/>
              </w:rPr>
              <w:t>94,636</w:t>
            </w:r>
          </w:p>
        </w:tc>
        <w:tc>
          <w:tcPr>
            <w:tcW w:w="1380" w:type="dxa"/>
            <w:vAlign w:val="bottom"/>
            <w:gridSpan w:val="2"/>
            <w:shd w:val="clear" w:color="auto" w:fill="DBE5F1"/>
          </w:tcPr>
          <w:p>
            <w:pPr>
              <w:jc w:val="right"/>
              <w:ind w:right="8"/>
              <w:spacing w:after="0"/>
              <w:rPr>
                <w:sz w:val="20"/>
                <w:szCs w:val="20"/>
                <w:color w:val="auto"/>
              </w:rPr>
            </w:pPr>
            <w:r>
              <w:rPr>
                <w:rFonts w:ascii="Times New Roman" w:cs="Times New Roman" w:eastAsia="Times New Roman" w:hAnsi="Times New Roman"/>
                <w:sz w:val="18"/>
                <w:szCs w:val="18"/>
                <w:color w:val="auto"/>
              </w:rPr>
              <w:t>6,137,718</w:t>
            </w:r>
          </w:p>
        </w:tc>
      </w:tr>
    </w:tbl>
    <w:p>
      <w:pPr>
        <w:spacing w:after="0" w:line="153" w:lineRule="exact"/>
        <w:rPr>
          <w:sz w:val="20"/>
          <w:szCs w:val="20"/>
          <w:color w:val="auto"/>
        </w:rPr>
      </w:pPr>
    </w:p>
    <w:p>
      <w:pPr>
        <w:ind w:firstLine="40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Trex stockholders approved, on an advisory basis, the compensation of the Company’s executive officers named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definitive proxy statement dated March 24, 2025. The votes regarding this proposal were as follows:</w:t>
      </w:r>
    </w:p>
    <w:p>
      <w:pPr>
        <w:spacing w:after="0" w:line="200" w:lineRule="exact"/>
        <w:rPr>
          <w:sz w:val="20"/>
          <w:szCs w:val="20"/>
          <w:color w:val="auto"/>
        </w:rPr>
      </w:pPr>
    </w:p>
    <w:p>
      <w:pPr>
        <w:spacing w:after="0" w:line="249" w:lineRule="exact"/>
        <w:rPr>
          <w:sz w:val="20"/>
          <w:szCs w:val="20"/>
          <w:color w:val="auto"/>
        </w:rPr>
      </w:pPr>
    </w:p>
    <w:tbl>
      <w:tblPr>
        <w:tblLayout w:type="fixed"/>
        <w:tblInd w:w="1360" w:type="dxa"/>
        <w:tblCellMar>
          <w:top w:w="0" w:type="dxa"/>
          <w:left w:w="0" w:type="dxa"/>
          <w:bottom w:w="0" w:type="dxa"/>
          <w:right w:w="0" w:type="dxa"/>
        </w:tblCellMar>
      </w:tblPr>
      <w:tr>
        <w:trPr>
          <w:trHeight w:val="173"/>
        </w:trPr>
        <w:tc>
          <w:tcPr>
            <w:tcW w:w="196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For</w:t>
            </w:r>
          </w:p>
        </w:tc>
        <w:tc>
          <w:tcPr>
            <w:tcW w:w="17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5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196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83,040,121</w:t>
            </w:r>
          </w:p>
        </w:tc>
        <w:tc>
          <w:tcPr>
            <w:tcW w:w="170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8,316,545</w:t>
            </w:r>
          </w:p>
        </w:tc>
        <w:tc>
          <w:tcPr>
            <w:tcW w:w="15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890,528</w:t>
            </w: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6,137,718</w:t>
            </w:r>
          </w:p>
        </w:tc>
      </w:tr>
    </w:tbl>
    <w:p>
      <w:pPr>
        <w:spacing w:after="0" w:line="135" w:lineRule="exact"/>
        <w:rPr>
          <w:sz w:val="20"/>
          <w:szCs w:val="20"/>
          <w:color w:val="auto"/>
        </w:rPr>
      </w:pPr>
    </w:p>
    <w:p>
      <w:pPr>
        <w:ind w:right="280" w:firstLine="40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Trex stockholders ratified the selection of Ernst &amp; Young LLP as the Company’s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the fiscal year ended December 31, 2025. The votes regarding this proposal were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1960" w:type="dxa"/>
            <w:vAlign w:val="bottom"/>
            <w:tcBorders>
              <w:bottom w:val="single" w:sz="8" w:color="auto"/>
            </w:tcBorders>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For</w:t>
            </w:r>
          </w:p>
        </w:tc>
        <w:tc>
          <w:tcPr>
            <w:tcW w:w="17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6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196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92,208,001</w:t>
            </w:r>
          </w:p>
        </w:tc>
        <w:tc>
          <w:tcPr>
            <w:tcW w:w="176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6,130,987</w:t>
            </w:r>
          </w:p>
        </w:tc>
        <w:tc>
          <w:tcPr>
            <w:tcW w:w="168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45,924</w:t>
            </w:r>
          </w:p>
        </w:tc>
        <w:tc>
          <w:tcPr>
            <w:tcW w:w="170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right="760" w:firstLine="401"/>
        <w:spacing w:after="0" w:line="282" w:lineRule="auto"/>
        <w:rPr>
          <w:sz w:val="20"/>
          <w:szCs w:val="20"/>
          <w:color w:val="auto"/>
        </w:rPr>
      </w:pPr>
      <w:r>
        <w:rPr>
          <w:rFonts w:ascii="Times New Roman" w:cs="Times New Roman" w:eastAsia="Times New Roman" w:hAnsi="Times New Roman"/>
          <w:sz w:val="18"/>
          <w:szCs w:val="18"/>
          <w:color w:val="auto"/>
        </w:rPr>
        <w:t>See Exhibit Index at the end of the Quarterly Report on Form 10-Q for the information required by this Item which is incorporated by reference.</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20"/>
          </w:cols>
          <w:pgMar w:left="1080" w:top="979" w:right="1199" w:bottom="1440" w:gutter="0" w:footer="0" w:header="0"/>
        </w:sectPr>
      </w:pPr>
    </w:p>
    <w:bookmarkStart w:id="26" w:name="page27"/>
    <w:bookmarkEnd w:id="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0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TREX COMPANY, INC.</w:t>
      </w:r>
    </w:p>
    <w:p>
      <w:pPr>
        <w:sectPr>
          <w:pgSz w:w="11900" w:h="16838" w:orient="portrait"/>
          <w:cols w:equalWidth="0" w:num="1">
            <w:col w:w="9700"/>
          </w:cols>
          <w:pgMar w:left="1080" w:top="981" w:right="111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1400"/>
        <w:spacing w:after="0"/>
        <w:rPr>
          <w:sz w:val="20"/>
          <w:szCs w:val="20"/>
          <w:color w:val="auto"/>
        </w:rPr>
      </w:pPr>
      <w:r>
        <w:rPr>
          <w:rFonts w:ascii="Times New Roman" w:cs="Times New Roman" w:eastAsia="Times New Roman" w:hAnsi="Times New Roman"/>
          <w:sz w:val="17"/>
          <w:szCs w:val="17"/>
          <w:color w:val="auto"/>
        </w:rPr>
        <w:t>/s/ Brenda K. Lovcik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-902970</wp:posOffset>
            </wp:positionH>
            <wp:positionV relativeFrom="paragraph">
              <wp:posOffset>24765</wp:posOffset>
            </wp:positionV>
            <wp:extent cx="27603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3">
            <w:col w:w="4380" w:space="720"/>
            <w:col w:w="980" w:space="720"/>
            <w:col w:w="2900"/>
          </w:cols>
          <w:pgMar w:left="1080" w:top="981" w:right="1119" w:bottom="1440" w:gutter="0" w:footer="0" w:header="0"/>
          <w:type w:val="continuous"/>
        </w:sectPr>
      </w:pPr>
    </w:p>
    <w:p>
      <w:pPr>
        <w:jc w:val="center"/>
        <w:ind w:left="5360"/>
        <w:spacing w:after="0"/>
        <w:rPr>
          <w:sz w:val="20"/>
          <w:szCs w:val="20"/>
          <w:color w:val="auto"/>
        </w:rPr>
      </w:pPr>
      <w:r>
        <w:rPr>
          <w:rFonts w:ascii="Times New Roman" w:cs="Times New Roman" w:eastAsia="Times New Roman" w:hAnsi="Times New Roman"/>
          <w:sz w:val="18"/>
          <w:szCs w:val="18"/>
          <w:color w:val="auto"/>
        </w:rPr>
        <w:t>Brenda K. Lovcik</w:t>
      </w:r>
    </w:p>
    <w:p>
      <w:pPr>
        <w:spacing w:after="0" w:line="23"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jc w:val="center"/>
        <w:ind w:left="53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Duly Authorized Officer and Principal Financial Officer</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981" w:right="1119" w:bottom="1440" w:gutter="0" w:footer="0" w:header="0"/>
          <w:type w:val="continuous"/>
        </w:sectPr>
      </w:pPr>
    </w:p>
    <w:bookmarkStart w:id="27" w:name="page28"/>
    <w:bookmarkEnd w:id="27"/>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3" w:lineRule="exact"/>
        <w:rPr>
          <w:sz w:val="20"/>
          <w:szCs w:val="20"/>
          <w:color w:val="auto"/>
        </w:rPr>
      </w:pPr>
    </w:p>
    <w:tbl>
      <w:tblPr>
        <w:tblLayout w:type="fixed"/>
        <w:tblInd w:w="700" w:type="dxa"/>
        <w:tblCellMar>
          <w:top w:w="0" w:type="dxa"/>
          <w:left w:w="0" w:type="dxa"/>
          <w:bottom w:w="0" w:type="dxa"/>
          <w:right w:w="0" w:type="dxa"/>
        </w:tblCellMar>
      </w:tblPr>
      <w:tr>
        <w:trPr>
          <w:trHeight w:val="173"/>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334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0"/>
                <w:szCs w:val="10"/>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0"/>
                <w:szCs w:val="10"/>
                <w:color w:val="auto"/>
              </w:rPr>
            </w:pPr>
          </w:p>
        </w:tc>
        <w:tc>
          <w:tcPr>
            <w:tcW w:w="15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00" w:type="dxa"/>
            <w:vAlign w:val="bottom"/>
          </w:tcPr>
          <w:p>
            <w:pPr>
              <w:spacing w:after="0"/>
              <w:rPr>
                <w:sz w:val="10"/>
                <w:szCs w:val="10"/>
                <w:color w:val="auto"/>
              </w:rPr>
            </w:pPr>
          </w:p>
        </w:tc>
        <w:tc>
          <w:tcPr>
            <w:tcW w:w="8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0" w:type="dxa"/>
            <w:vAlign w:val="bottom"/>
          </w:tcPr>
          <w:p>
            <w:pPr>
              <w:spacing w:after="0"/>
              <w:rPr>
                <w:sz w:val="1"/>
                <w:szCs w:val="1"/>
                <w:color w:val="auto"/>
              </w:rPr>
            </w:pPr>
          </w:p>
        </w:tc>
      </w:tr>
      <w:tr>
        <w:trPr>
          <w:trHeight w:val="173"/>
        </w:trPr>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5"/>
                <w:szCs w:val="15"/>
                <w:color w:val="auto"/>
              </w:rPr>
            </w:pPr>
          </w:p>
        </w:tc>
        <w:tc>
          <w:tcPr>
            <w:tcW w:w="33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3.1</w:t>
            </w:r>
          </w:p>
        </w:tc>
        <w:tc>
          <w:tcPr>
            <w:tcW w:w="29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Restated Certificate of Incorporation of</w:t>
              </w:r>
            </w:hyperlink>
          </w:p>
        </w:tc>
        <w:tc>
          <w:tcPr>
            <w:tcW w:w="260" w:type="dxa"/>
            <w:vAlign w:val="bottom"/>
            <w:gridSpan w:val="7"/>
          </w:tcPr>
          <w:p>
            <w:pPr>
              <w:spacing w:after="0"/>
              <w:rPr>
                <w:sz w:val="17"/>
                <w:szCs w:val="17"/>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August 2, 2021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196"/>
        </w:trPr>
        <w:tc>
          <w:tcPr>
            <w:tcW w:w="1160" w:type="dxa"/>
            <w:vAlign w:val="bottom"/>
          </w:tcPr>
          <w:p>
            <w:pPr>
              <w:spacing w:after="0"/>
              <w:rPr>
                <w:sz w:val="17"/>
                <w:szCs w:val="17"/>
                <w:color w:val="auto"/>
              </w:rPr>
            </w:pPr>
          </w:p>
        </w:tc>
        <w:tc>
          <w:tcPr>
            <w:tcW w:w="29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Trex Company, Inc. dated July 28, 2021.</w:t>
              </w:r>
            </w:hyperlink>
          </w:p>
        </w:tc>
        <w:tc>
          <w:tcPr>
            <w:tcW w:w="22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3.2</w:t>
            </w:r>
          </w:p>
        </w:tc>
        <w:tc>
          <w:tcPr>
            <w:tcW w:w="27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First Certificate of Amendment to the</w:t>
              </w:r>
            </w:hyperlink>
          </w:p>
        </w:tc>
        <w:tc>
          <w:tcPr>
            <w:tcW w:w="420" w:type="dxa"/>
            <w:vAlign w:val="bottom"/>
            <w:gridSpan w:val="11"/>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May 9, 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196"/>
        </w:trPr>
        <w:tc>
          <w:tcPr>
            <w:tcW w:w="1160" w:type="dxa"/>
            <w:vAlign w:val="bottom"/>
          </w:tcPr>
          <w:p>
            <w:pPr>
              <w:spacing w:after="0"/>
              <w:rPr>
                <w:sz w:val="17"/>
                <w:szCs w:val="17"/>
                <w:color w:val="auto"/>
              </w:rPr>
            </w:pPr>
          </w:p>
        </w:tc>
        <w:tc>
          <w:tcPr>
            <w:tcW w:w="29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Restated Certificate of Incorporation of</w:t>
              </w:r>
            </w:hyperlink>
          </w:p>
        </w:tc>
        <w:tc>
          <w:tcPr>
            <w:tcW w:w="26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180" w:type="dxa"/>
            <w:vAlign w:val="bottom"/>
            <w:gridSpan w:val="15"/>
          </w:tcPr>
          <w:p>
            <w:pPr>
              <w:spacing w:after="0" w:line="196"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Trex Company, Inc. dated May 5, 2022</w:t>
              </w:r>
            </w:hyperlink>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3.3</w:t>
            </w:r>
          </w:p>
        </w:tc>
        <w:tc>
          <w:tcPr>
            <w:tcW w:w="2840" w:type="dxa"/>
            <w:vAlign w:val="bottom"/>
            <w:tcBorders>
              <w:top w:val="single" w:sz="8" w:color="0000FF"/>
              <w:bottom w:val="single" w:sz="8" w:color="0000FF"/>
            </w:tcBorders>
            <w:gridSpan w:val="5"/>
          </w:tcPr>
          <w:p>
            <w:pPr>
              <w:spacing w:after="0"/>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Amended and Restated By-Laws of the</w:t>
              </w:r>
            </w:hyperlink>
          </w:p>
        </w:tc>
        <w:tc>
          <w:tcPr>
            <w:tcW w:w="60" w:type="dxa"/>
            <w:vAlign w:val="bottom"/>
            <w:tcBorders>
              <w:bottom w:val="single" w:sz="8" w:color="0000FF"/>
            </w:tcBorders>
            <w:gridSpan w:val="2"/>
          </w:tcPr>
          <w:p>
            <w:pPr>
              <w:spacing w:after="0"/>
              <w:rPr>
                <w:sz w:val="24"/>
                <w:szCs w:val="24"/>
                <w:color w:val="auto"/>
              </w:rPr>
            </w:pPr>
          </w:p>
        </w:tc>
        <w:tc>
          <w:tcPr>
            <w:tcW w:w="280" w:type="dxa"/>
            <w:vAlign w:val="bottom"/>
            <w:gridSpan w:val="8"/>
          </w:tcPr>
          <w:p>
            <w:pPr>
              <w:spacing w:after="0"/>
              <w:rPr>
                <w:sz w:val="24"/>
                <w:szCs w:val="24"/>
                <w:color w:val="auto"/>
              </w:rPr>
            </w:pPr>
          </w:p>
        </w:tc>
        <w:tc>
          <w:tcPr>
            <w:tcW w:w="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26, 2024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001-14649</w:t>
            </w:r>
          </w:p>
        </w:tc>
      </w:tr>
      <w:tr>
        <w:trPr>
          <w:trHeight w:val="196"/>
        </w:trPr>
        <w:tc>
          <w:tcPr>
            <w:tcW w:w="1160" w:type="dxa"/>
            <w:vAlign w:val="bottom"/>
          </w:tcPr>
          <w:p>
            <w:pPr>
              <w:spacing w:after="0"/>
              <w:rPr>
                <w:sz w:val="17"/>
                <w:szCs w:val="17"/>
                <w:color w:val="auto"/>
              </w:rPr>
            </w:pPr>
          </w:p>
        </w:tc>
        <w:tc>
          <w:tcPr>
            <w:tcW w:w="25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09">
              <w:r>
                <w:rPr>
                  <w:rFonts w:ascii="Times New Roman" w:cs="Times New Roman" w:eastAsia="Times New Roman" w:hAnsi="Times New Roman"/>
                  <w:sz w:val="18"/>
                  <w:szCs w:val="18"/>
                  <w:color w:val="0000FF"/>
                  <w:w w:val="99"/>
                </w:rPr>
                <w:t>Company dated February 21, 2024</w:t>
              </w:r>
            </w:hyperlink>
          </w:p>
        </w:tc>
        <w:tc>
          <w:tcPr>
            <w:tcW w:w="20" w:type="dxa"/>
            <w:vAlign w:val="bottom"/>
            <w:tcBorders>
              <w:bottom w:val="single" w:sz="8" w:color="0000EE"/>
            </w:tcBorders>
          </w:tcPr>
          <w:p>
            <w:pPr>
              <w:spacing w:after="0"/>
              <w:rPr>
                <w:sz w:val="17"/>
                <w:szCs w:val="17"/>
                <w:color w:val="auto"/>
              </w:rPr>
            </w:pPr>
          </w:p>
        </w:tc>
        <w:tc>
          <w:tcPr>
            <w:tcW w:w="64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w:t>
            </w:r>
          </w:p>
        </w:tc>
        <w:tc>
          <w:tcPr>
            <w:tcW w:w="31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w:t>
            </w:r>
          </w:p>
        </w:tc>
        <w:tc>
          <w:tcPr>
            <w:tcW w:w="60" w:type="dxa"/>
            <w:vAlign w:val="bottom"/>
            <w:gridSpan w:val="2"/>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0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the Company pursuant to Rule 13a-14(a)</w:t>
            </w:r>
          </w:p>
        </w:tc>
        <w:tc>
          <w:tcPr>
            <w:tcW w:w="1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14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under the Securities Exchange Act of 1934.</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11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31.2*</w:t>
            </w:r>
          </w:p>
        </w:tc>
        <w:tc>
          <w:tcPr>
            <w:tcW w:w="30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w:t>
            </w:r>
          </w:p>
        </w:tc>
        <w:tc>
          <w:tcPr>
            <w:tcW w:w="10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0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the Company pursuant to Rule 13a-14(a)</w:t>
            </w:r>
          </w:p>
        </w:tc>
        <w:tc>
          <w:tcPr>
            <w:tcW w:w="1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12"/>
        </w:trPr>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32***</w:t>
            </w:r>
          </w:p>
        </w:tc>
        <w:tc>
          <w:tcPr>
            <w:tcW w:w="3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w:t>
            </w:r>
          </w:p>
        </w:tc>
        <w:tc>
          <w:tcPr>
            <w:tcW w:w="180" w:type="dxa"/>
            <w:vAlign w:val="bottom"/>
            <w:gridSpan w:val="5"/>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8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and Chief Financial Officer pursuant to</w:t>
            </w:r>
          </w:p>
        </w:tc>
        <w:tc>
          <w:tcPr>
            <w:tcW w:w="30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306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w:t>
            </w:r>
          </w:p>
        </w:tc>
        <w:tc>
          <w:tcPr>
            <w:tcW w:w="12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8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2002 (18 U.S.C. § 1350).</w:t>
            </w:r>
          </w:p>
        </w:tc>
        <w:tc>
          <w:tcPr>
            <w:tcW w:w="13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4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Document—the</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instance document does not appear in the</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w w:val="99"/>
              </w:rPr>
              <w:t>Interactive Data File because its XBRL tags</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document.</w:t>
            </w: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 Embedded Linkbase Documents.</w:t>
            </w: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104.1</w:t>
            </w: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File—The</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31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does not</w:t>
            </w: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ind w:left="1840"/>
        <w:spacing w:after="0"/>
        <w:rPr>
          <w:sz w:val="20"/>
          <w:szCs w:val="20"/>
          <w:color w:val="auto"/>
        </w:rPr>
      </w:pPr>
      <w:r>
        <w:rPr>
          <w:rFonts w:ascii="Times New Roman" w:cs="Times New Roman" w:eastAsia="Times New Roman" w:hAnsi="Times New Roman"/>
          <w:sz w:val="18"/>
          <w:szCs w:val="18"/>
          <w:color w:val="auto"/>
        </w:rPr>
        <w:t>appear in the interactive data file because its</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XBRL tags are embedded within the inline</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XBRL document.</w:t>
      </w:r>
    </w:p>
    <w:p>
      <w:pPr>
        <w:spacing w:after="0" w:line="207" w:lineRule="exact"/>
        <w:rPr>
          <w:sz w:val="20"/>
          <w:szCs w:val="20"/>
          <w:color w:val="auto"/>
        </w:rPr>
      </w:pPr>
    </w:p>
    <w:p>
      <w:pPr>
        <w:ind w:left="360" w:hanging="356"/>
        <w:spacing w:after="0"/>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13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484505</wp:posOffset>
            </wp:positionV>
            <wp:extent cx="70377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981" w:right="1440" w:bottom="1440" w:gutter="0" w:footer="0" w:header="0"/>
        </w:sectPr>
      </w:pPr>
    </w:p>
    <w:bookmarkStart w:id="28" w:name="page29"/>
    <w:bookmarkEnd w:id="28"/>
    <w:p>
      <w:pPr>
        <w:ind w:left="874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Bryan H. Fairbanks, certify that:</w:t>
      </w:r>
    </w:p>
    <w:p>
      <w:pPr>
        <w:spacing w:after="0" w:line="117" w:lineRule="exact"/>
        <w:rPr>
          <w:sz w:val="20"/>
          <w:szCs w:val="20"/>
          <w:color w:val="auto"/>
        </w:rPr>
      </w:pPr>
    </w:p>
    <w:p>
      <w:pPr>
        <w:ind w:left="440" w:hanging="436"/>
        <w:spacing w:after="0"/>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Trex Company, Inc.;</w:t>
      </w:r>
    </w:p>
    <w:p>
      <w:pPr>
        <w:spacing w:after="0" w:line="117" w:lineRule="exact"/>
        <w:rPr>
          <w:rFonts w:ascii="Times New Roman" w:cs="Times New Roman" w:eastAsia="Times New Roman" w:hAnsi="Times New Roman"/>
          <w:sz w:val="18"/>
          <w:szCs w:val="18"/>
          <w:color w:val="auto"/>
        </w:rPr>
      </w:pPr>
    </w:p>
    <w:p>
      <w:pPr>
        <w:ind w:left="440" w:right="200" w:hanging="436"/>
        <w:spacing w:after="0" w:line="266"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280" w:hanging="436"/>
        <w:spacing w:after="0" w:line="266"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20" w:hanging="436"/>
        <w:spacing w:after="0" w:line="266"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300" w:hanging="436"/>
        <w:spacing w:after="0" w:line="289" w:lineRule="auto"/>
        <w:tabs>
          <w:tab w:leader="none" w:pos="8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160" w:hanging="436"/>
        <w:spacing w:after="0" w:line="266"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260" w:hanging="436"/>
        <w:spacing w:after="0" w:line="261"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40" w:right="340" w:hanging="436"/>
        <w:spacing w:after="0" w:line="266" w:lineRule="auto"/>
        <w:tabs>
          <w:tab w:leader="none" w:pos="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 Bryan H. Fairbanks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14605</wp:posOffset>
            </wp:positionV>
            <wp:extent cx="30861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Bryan H. Fairbanks</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704850</wp:posOffset>
            </wp:positionV>
            <wp:extent cx="70377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5" w:right="1119" w:bottom="1440" w:gutter="0" w:footer="0" w:header="0"/>
        </w:sectPr>
      </w:pPr>
    </w:p>
    <w:bookmarkStart w:id="29" w:name="page30"/>
    <w:bookmarkEnd w:id="29"/>
    <w:p>
      <w:pPr>
        <w:ind w:left="87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Brenda K. Lovcik, certify that:</w:t>
      </w:r>
    </w:p>
    <w:p>
      <w:pPr>
        <w:spacing w:after="0" w:line="117" w:lineRule="exact"/>
        <w:rPr>
          <w:sz w:val="20"/>
          <w:szCs w:val="20"/>
          <w:color w:val="auto"/>
        </w:rPr>
      </w:pPr>
    </w:p>
    <w:p>
      <w:pPr>
        <w:ind w:left="440" w:hanging="436"/>
        <w:spacing w:after="0"/>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Trex Company, Inc.;</w:t>
      </w:r>
    </w:p>
    <w:p>
      <w:pPr>
        <w:spacing w:after="0" w:line="117" w:lineRule="exact"/>
        <w:rPr>
          <w:rFonts w:ascii="Times New Roman" w:cs="Times New Roman" w:eastAsia="Times New Roman" w:hAnsi="Times New Roman"/>
          <w:sz w:val="18"/>
          <w:szCs w:val="18"/>
          <w:color w:val="auto"/>
        </w:rPr>
      </w:pPr>
    </w:p>
    <w:p>
      <w:pPr>
        <w:ind w:left="440" w:right="20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28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2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hanging="436"/>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300" w:hanging="436"/>
        <w:spacing w:after="0" w:line="289" w:lineRule="auto"/>
        <w:tabs>
          <w:tab w:leader="none" w:pos="8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160" w:hanging="436"/>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260" w:hanging="436"/>
        <w:spacing w:after="0" w:line="261"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40" w:right="340" w:hanging="436"/>
        <w:spacing w:after="0" w:line="266" w:lineRule="auto"/>
        <w:tabs>
          <w:tab w:leader="none" w:pos="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80" w:hanging="436"/>
        <w:spacing w:after="0" w:line="266"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460" w:hanging="436"/>
        <w:spacing w:after="0" w:line="282" w:lineRule="auto"/>
        <w:tabs>
          <w:tab w:leader="none" w:pos="8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 Brenda K. Lovcik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14605</wp:posOffset>
            </wp:positionV>
            <wp:extent cx="30861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Brenda K. Lovcik</w:t>
      </w:r>
    </w:p>
    <w:p>
      <w:pPr>
        <w:spacing w:after="0" w:line="2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704850</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00"/>
          </w:cols>
          <w:pgMar w:left="1080" w:top="765" w:right="1119" w:bottom="1440" w:gutter="0" w:footer="0" w:header="0"/>
        </w:sectPr>
      </w:pPr>
    </w:p>
    <w:bookmarkStart w:id="30" w:name="page31"/>
    <w:bookmarkEnd w:id="30"/>
    <w:p>
      <w:pPr>
        <w:ind w:left="958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906</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 the Sarbanes-Oxley Act of 2002 (18 U.S.C. Section 1350)</w:t>
      </w:r>
    </w:p>
    <w:p>
      <w:pPr>
        <w:spacing w:after="0" w:line="180" w:lineRule="exact"/>
        <w:rPr>
          <w:sz w:val="20"/>
          <w:szCs w:val="20"/>
          <w:color w:val="auto"/>
        </w:rPr>
      </w:pPr>
    </w:p>
    <w:p>
      <w:pPr>
        <w:ind w:left="660" w:right="1280"/>
        <w:spacing w:after="0" w:line="282" w:lineRule="auto"/>
        <w:rPr>
          <w:sz w:val="20"/>
          <w:szCs w:val="20"/>
          <w:color w:val="auto"/>
        </w:rPr>
      </w:pPr>
      <w:r>
        <w:rPr>
          <w:rFonts w:ascii="Times New Roman" w:cs="Times New Roman" w:eastAsia="Times New Roman" w:hAnsi="Times New Roman"/>
          <w:sz w:val="18"/>
          <w:szCs w:val="18"/>
          <w:color w:val="auto"/>
        </w:rPr>
        <w:t>The undersigned, the President and Chief Executive Officer and the Senior Vice President and Chief Financial Officer of Trex Company, Inc. (the “Company”), each hereby certifies that, on the date hereof:</w:t>
      </w:r>
    </w:p>
    <w:p>
      <w:pPr>
        <w:spacing w:after="0" w:line="54" w:lineRule="exact"/>
        <w:rPr>
          <w:sz w:val="20"/>
          <w:szCs w:val="20"/>
          <w:color w:val="auto"/>
        </w:rPr>
      </w:pPr>
    </w:p>
    <w:p>
      <w:pPr>
        <w:ind w:left="1100" w:right="700" w:hanging="436"/>
        <w:spacing w:after="0" w:line="266"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2025 filed on the date hereof with the U.S. Securities and Exchange Commission (the “Report”) fully complies with the requirements of Section 13(a) or 15(d) of the Securities Exchange Act of 1934; and</w:t>
      </w:r>
    </w:p>
    <w:p>
      <w:pPr>
        <w:spacing w:after="0" w:line="67" w:lineRule="exact"/>
        <w:rPr>
          <w:rFonts w:ascii="Times New Roman" w:cs="Times New Roman" w:eastAsia="Times New Roman" w:hAnsi="Times New Roman"/>
          <w:sz w:val="18"/>
          <w:szCs w:val="18"/>
          <w:color w:val="auto"/>
        </w:rPr>
      </w:pPr>
    </w:p>
    <w:p>
      <w:pPr>
        <w:ind w:left="1100" w:right="860" w:hanging="436"/>
        <w:spacing w:after="0" w:line="282" w:lineRule="auto"/>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results of operations of the Company.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8, 2025</w:t>
            </w: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Bryan H. Fairbanks</w:t>
            </w:r>
          </w:p>
        </w:tc>
      </w:tr>
      <w:tr>
        <w:trPr>
          <w:trHeight w:val="191"/>
        </w:trPr>
        <w:tc>
          <w:tcPr>
            <w:tcW w:w="574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Bryan H. Fairbanks</w:t>
            </w:r>
          </w:p>
        </w:tc>
        <w:tc>
          <w:tcPr>
            <w:tcW w:w="660" w:type="dxa"/>
            <w:vAlign w:val="bottom"/>
          </w:tcPr>
          <w:p>
            <w:pPr>
              <w:spacing w:after="0"/>
              <w:rPr>
                <w:sz w:val="16"/>
                <w:szCs w:val="16"/>
                <w:color w:val="auto"/>
              </w:rPr>
            </w:pPr>
          </w:p>
        </w:tc>
      </w:tr>
      <w:tr>
        <w:trPr>
          <w:trHeight w:val="234"/>
        </w:trPr>
        <w:tc>
          <w:tcPr>
            <w:tcW w:w="57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 May 8, 2025</w:t>
            </w: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Brenda K. Lovcik</w:t>
            </w:r>
          </w:p>
        </w:tc>
      </w:tr>
      <w:tr>
        <w:trPr>
          <w:trHeight w:val="191"/>
        </w:trPr>
        <w:tc>
          <w:tcPr>
            <w:tcW w:w="574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Brenda K. Lovcik</w:t>
            </w:r>
          </w:p>
        </w:tc>
        <w:tc>
          <w:tcPr>
            <w:tcW w:w="660" w:type="dxa"/>
            <w:vAlign w:val="bottom"/>
          </w:tcPr>
          <w:p>
            <w:pPr>
              <w:spacing w:after="0"/>
              <w:rPr>
                <w:sz w:val="16"/>
                <w:szCs w:val="16"/>
                <w:color w:val="auto"/>
              </w:rPr>
            </w:pPr>
          </w:p>
        </w:tc>
      </w:tr>
      <w:tr>
        <w:trPr>
          <w:trHeight w:val="234"/>
        </w:trPr>
        <w:tc>
          <w:tcPr>
            <w:tcW w:w="574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1127"/>
        </w:trPr>
        <w:tc>
          <w:tcPr>
            <w:tcW w:w="574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1."/>
      <w:numFmt w:val="decimal"/>
      <w:start w:val="6"/>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decimal"/>
      <w:start w:val="8"/>
    </w:lvl>
  </w:abstractNum>
  <w:abstractNum w:abstractNumId="10">
    <w:nsid w:val="6B68079A"/>
    <w:multiLevelType w:val="hybridMultilevel"/>
    <w:lvl w:ilvl="0">
      <w:lvlJc w:val="left"/>
      <w:lvlText w:val="%1."/>
      <w:numFmt w:val="decimal"/>
      <w:start w:val="9"/>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decimal"/>
      <w:start w:val="18"/>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lowerLetter"/>
      <w:start w:val="3"/>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07" Type="http://schemas.openxmlformats.org/officeDocument/2006/relationships/hyperlink" Target="https://www.sec.gov/Archives/edgar/data/1069878/000119312521233453/d158478dex36.htm" TargetMode="External"/><Relationship Id="rId108" Type="http://schemas.openxmlformats.org/officeDocument/2006/relationships/hyperlink" Target="https://www.sec.gov/Archives/edgar/data/1069878/000119312522145117/d336988dex32.htm" TargetMode="External"/><Relationship Id="rId109" Type="http://schemas.openxmlformats.org/officeDocument/2006/relationships/hyperlink" Target="https://www.sec.gov/Archives/edgar/data/1069878/000119312524046315/d667935dex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2025-05-08T16:20:17Z</dcterms:created>
  <dcterms:modified xsi:type="dcterms:W3CDTF">2025-05-08T16:20:17Z</dcterms:modified>
</cp:coreProperties>
</file>