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ex-20260824.htm"/>
      <w:bookmarkStart w:id="1" w:name="kstrex202608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24,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6044"/>
      </w:tblGrid>
      <w:tr>
        <w:trPr/>
        <w:tc>
          <w:tcPr>
            <w:tcW w:w="6044" w:type="dxa"/>
            <w:tcBorders/>
            <w:vAlign w:val="center"/>
          </w:tcPr>
          <w:p>
            <w:pPr>
              <w:pStyle w:val="TableContents"/>
              <w:bidi w:val="0"/>
              <w:spacing w:before="0" w:after="283"/>
              <w:jc w:val="left"/>
              <w:rPr>
                <w:sz w:val="4"/>
                <w:szCs w:val="4"/>
              </w:rPr>
            </w:pPr>
            <w:r>
              <w:rPr>
                <w:sz w:val="4"/>
                <w:szCs w:val="4"/>
              </w:rPr>
            </w:r>
          </w:p>
        </w:tc>
      </w:tr>
      <w:tr>
        <w:trPr/>
        <w:tc>
          <w:tcPr>
            <w:tcW w:w="60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b/>
          <w:color w:val="000000"/>
          <w:sz w:val="20"/>
        </w:rPr>
      </w:pPr>
      <w:r>
        <w:rPr>
          <w:rFonts w:ascii="Times New Roman" w:hAnsi="Times New Roman"/>
          <w:b/>
          <w:color w:val="000000"/>
          <w:sz w:val="20"/>
        </w:rPr>
        <w:t>Appointment of Brian J. Taylor as Senior Vice President and Chief Commercial Officer</w:t>
      </w:r>
    </w:p>
    <w:p>
      <w:pPr>
        <w:pStyle w:val="TextBody"/>
        <w:bidi w:val="0"/>
        <w:spacing w:before="120" w:after="283"/>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On August 20, 2026 the Board of Directors and the Compensation Committee of Trex Company, Inc. (the Company) appointed Brian J. Taylor to serve as the Company’s Senior Vice President and Chief Commercial Officer effective August 24, 2026. Mr. Taylor will also be a named executive officer for purposes of the Company’s financial filings and public reporting. As the Senior Vice President and Chief Commercial Officer, Mr. Taylor will be responsible for overseeing the sales, marketing, and information technology functions of the Company.</w:t>
      </w:r>
    </w:p>
    <w:p>
      <w:pPr>
        <w:pStyle w:val="TextBody"/>
        <w:bidi w:val="0"/>
        <w:jc w:val="left"/>
        <w:rPr/>
      </w:pPr>
      <w:r>
        <w:rPr/>
        <w:t> </w:t>
      </w:r>
    </w:p>
    <w:p>
      <w:pPr>
        <w:pStyle w:val="TextBody"/>
        <w:bidi w:val="0"/>
        <w:spacing w:before="0" w:after="160"/>
        <w:ind w:left="0" w:right="0" w:firstLine="490"/>
        <w:jc w:val="left"/>
        <w:rPr>
          <w:rFonts w:ascii="Times New Roman" w:hAnsi="Times New Roman"/>
          <w:color w:val="000000"/>
          <w:sz w:val="20"/>
        </w:rPr>
      </w:pPr>
      <w:r>
        <w:rPr>
          <w:rFonts w:ascii="Times New Roman" w:hAnsi="Times New Roman"/>
          <w:color w:val="000000"/>
          <w:sz w:val="20"/>
        </w:rPr>
        <w:t xml:space="preserve">Mr. Taylor, age 50, served as Vice President Sales, North America of PoolCorp from March 2025 to August 2026. Prior to that, until February 2025, Mr. Taylor served in various positions across sales and marketing with Sherwin Williams, including serving as Senior Vice President, Global Marketing &amp; Sales for the Performance Coatings Group from February 2022 until February 2024. During his twenty-four-year tenure at Sherwin Williams, he also served as Senior Vice President, Sales &amp; Marketing, North America for the Paint Stores Group from March 2021 until February 2022, as Vice President, Marketing for the Midwest Division from August 2019 until March 2021, as Vice President of Sales, Ohio and Michigan from May 2016 until August 2019 and in various other sales roles prior to 2016. Mr. Taylor received a Bachelor of Science degree in Marketing Management from Sacred Heart University, and Master of Business Administration degree from Pace University. </w:t>
      </w:r>
    </w:p>
    <w:p>
      <w:pPr>
        <w:pStyle w:val="TextBody"/>
        <w:bidi w:val="0"/>
        <w:spacing w:before="0" w:after="160"/>
        <w:ind w:left="0" w:right="0" w:firstLine="490"/>
        <w:jc w:val="left"/>
        <w:rPr>
          <w:rFonts w:ascii="Times New Roman" w:hAnsi="Times New Roman"/>
          <w:color w:val="000000"/>
          <w:sz w:val="20"/>
        </w:rPr>
      </w:pPr>
      <w:r>
        <w:rPr>
          <w:rFonts w:ascii="Times New Roman" w:hAnsi="Times New Roman"/>
          <w:color w:val="000000"/>
          <w:sz w:val="20"/>
        </w:rPr>
        <w:t>There are no family relationships existing between Mr. Taylor and any director or executive officer of the Company. There have been no transactions, and no transactions are currently proposed, in which the Company was or is to be a participant and in which Mr. Taylor or any member of his immediate family had or will have any interest, that are required to be disclosed by Item 404(a) of Regulation S-K. In addition, there are no arrangements or understandings between Mr. Taylor and any other persons pursuant to which Mr. Taylor was appointed to such position.</w:t>
      </w:r>
    </w:p>
    <w:p>
      <w:pPr>
        <w:pStyle w:val="TextBody"/>
        <w:bidi w:val="0"/>
        <w:spacing w:before="80" w:after="283"/>
        <w:ind w:left="0" w:right="0" w:firstLine="490"/>
        <w:jc w:val="left"/>
        <w:rPr>
          <w:rFonts w:ascii="Times New Roman" w:hAnsi="Times New Roman"/>
          <w:b/>
          <w:color w:val="000000"/>
          <w:sz w:val="20"/>
        </w:rPr>
      </w:pPr>
      <w:r>
        <w:rPr>
          <w:rFonts w:ascii="Times New Roman" w:hAnsi="Times New Roman"/>
          <w:b/>
          <w:color w:val="000000"/>
          <w:sz w:val="20"/>
        </w:rPr>
        <w:t>Base Salary Compensation, Cash Incentive and Term Equity Incentives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Mr. Taylor will receive an annual base salary of $480,000, which will be prorated for 2026, and will be a participant in the Company’s Annual Cash Incentive Compensation Program and Long-Term Equity Incentive Compensation Program, as further described in the Company’s Proxy Statement filed March 16, 2026. Mr. Taylor’s target award under the Annual Cash Incentive Compensation Program will be 60% of his annual base salary, however, in the first quarter of 2027 contemporaneously with the payment of cash incentive to other employees, Mr. Taylor’s award shall be the greater of $150,000 or his pro-rated cash incentive of 60% of his eligible earnings times actual Company performance against targets under the 2026 Annual Cash Incentive Compensation Program. Additionally, Mr. Taylor’s target award under the Long-Term Equity Incentive Compensation Program will be 135% of his annual base salary. In addition, on August 24, 2026, Mr. Taylor will receive an equity grant of time-based restricted stock units (RSUs) valued at $450,000, vesting ratably over a 3-year period (with vesting occurring each August). Mr. Taylor’s first vesting date will be August 24, 2027, at which time one third of the total RSUs will vest.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event Mr. Taylor voluntarily terminates his employment other than for Good Reason or his employment is terminated For Cause (as such defined terms are defined in the Company’s 2023 Stock Incentive Plan Restricted Stock Unit Agreement Time-Based Vesting (the “RSU Agreement”)) prior to August 24, 2029, then the unvested RSUs shall be forfeited.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purpose of the RSU Agreement, “cause” and “good reason” are defined as follows:</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Cause” includes Mr. Taylor’s: (1) willful or grossly negligent misconduct that is injurious to the Company or violates Company policy; (2) embezzlement or misappropriation of funds or property of the Company; (3) conviction of a felony or the entrance of a plea of guilty or nolo contendere to a felony; (4) conviction of any crime involving fraud, dishonesty, moral turpitude or breach of trust or the entrance of a plea of guilty or nolo contendere to such a crime; or (5) willful failure or refusal by Mr. Taylor to devote his full business time (other than on account of disability or approved leave) and attention to the performance of his duties and responsibilities if such breach has not been cured within 15 days after written notice thereof is given to him by the Board of Directors.</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Good Reason” includes: (1) a material and adverse change in Mr. Taylor’s status or position(s) as an officer of the Company; (2) a 10% or greater reduction in his aggregate base salary and targeted bonus, other than any such reduction proportionately consistent with a general reduction of pay across the executive staff as a group; (3) the failure by the Company to continue in effect any material employee benefit plan (excluding any equity compensation plan) in which he is participating other than as a result of the normal expiration of any such plan in accordance with its terms; (4) Company requiring him to be based at an office that is both more than 50 miles from where his office is located and further from his then current residence; or (5) a material breach by the Company of any agreement with him.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left"/>
        <w:rPr/>
      </w:pPr>
      <w:r>
        <w:rPr/>
        <w:t> </w:t>
      </w:r>
    </w:p>
    <w:p>
      <w:pPr>
        <w:pStyle w:val="TextBody"/>
        <w:bidi w:val="0"/>
        <w:spacing w:before="360" w:after="283"/>
        <w:ind w:left="0" w:right="0" w:firstLine="490"/>
        <w:jc w:val="left"/>
        <w:rPr>
          <w:rFonts w:ascii="Times New Roman" w:hAnsi="Times New Roman"/>
          <w:b/>
          <w:color w:val="000000"/>
          <w:sz w:val="20"/>
        </w:rPr>
      </w:pPr>
      <w:r>
        <w:rPr>
          <w:rFonts w:ascii="Times New Roman" w:hAnsi="Times New Roman"/>
          <w:b/>
          <w:color w:val="000000"/>
          <w:sz w:val="20"/>
        </w:rPr>
        <w:t>Additional Compensation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Mr. Taylor will receive a $100,000 cash signing bonus on the Company’s first regular payroll after August 24, 2026, the after-tax value of which shall be repayable to the Company if the Company terminates Mr. Taylor’s employment For Cause or Mr. Taylor elects to resign without Good Reason (as such defined terms are disclosed above in the RSU Agreement section), within two (2) years after August 24, 2026. Mr. Taylor will also receive certain perquisites including but not limited to 401K contributions, a monthly company car allowance, and life insurance premiums. </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Mr. Taylor is also entitled to relocation benefits in accordance with the Company’s Domestic Relocation Policy, including home sale assistance through August 24, 2027. The Company has also agreed to provide Mr. Taylor with certain settling-in allowances and the storage of household goods. In the event Mr. Taylor voluntarily terminates his employment other than for Good Reason or his employment is terminated For Cause (as defined below), he will be required to reimburse 100% of the after-tax value of the relocation benefits if the termination occurs before the second anniversary of his relocation date.</w:t>
      </w:r>
    </w:p>
    <w:p>
      <w:pPr>
        <w:pStyle w:val="TextBody"/>
        <w:bidi w:val="0"/>
        <w:spacing w:before="360" w:after="283"/>
        <w:ind w:left="0" w:right="0" w:firstLine="490"/>
        <w:jc w:val="left"/>
        <w:rPr>
          <w:rFonts w:ascii="Times New Roman" w:hAnsi="Times New Roman"/>
          <w:b/>
          <w:color w:val="000000"/>
          <w:sz w:val="20"/>
        </w:rPr>
      </w:pPr>
      <w:r>
        <w:rPr>
          <w:rFonts w:ascii="Times New Roman" w:hAnsi="Times New Roman"/>
          <w:b/>
          <w:color w:val="000000"/>
          <w:sz w:val="20"/>
        </w:rPr>
        <w:t>Change in Control Severance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and Mr. Taylor will enter into the Company’s standard Form of Change in Control Severance Agreement between Trex Company, Inc. and Officers other than the Chief Executive Officer (the CIC Agreement) on August 24, 2026. Under this CIC Agreement, if within the period beginning 90 days before and ending two years after a change in control of the Company (as defined in the CIC Agreement), Mr. Taylor’s employment is terminated by the Company (other than For Cause or by reason of death or disability) or if he terminates his employment for Good Reason, Mr. Taylor will be entitled to receive severance benefits as detailed below:</w:t>
      </w:r>
    </w:p>
    <w:p>
      <w:pPr>
        <w:pStyle w:val="TextBody"/>
        <w:bidi w:val="0"/>
        <w:spacing w:before="120" w:after="283"/>
        <w:ind w:left="89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severance payment equal to 1.5 times the sum of (1) Mr. Taylor’s annual base salary (in effect immediately prior to the change in control or termination, whichever is greater), plus (2) the greater of (a) Mr. Taylor’s target annual cash incentive for the year immediately prior to the year in which the change in control occurs, (b) Mr. Taylor’s target annual cash incentive for the year of the termination of employment, or (c) Mr. Taylor’s actual annual cash incentive for the last fiscal year immediately prior to the year of the termination of employment; and</w:t>
      </w:r>
    </w:p>
    <w:p>
      <w:pPr>
        <w:pStyle w:val="TextBody"/>
        <w:bidi w:val="0"/>
        <w:spacing w:before="120" w:after="283"/>
        <w:ind w:left="89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group health and dental insurance, and group life insurance, on the same terms and conditions as though Mr. Taylor had remained an active employee (or payment of the necessary amount to obtain equivalent coverage if Company coverage is not possible), for the shorter of 18 months or until coverage is obtained from a new employer.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purpose of the CIC Agreement, “cause” and “good reason” are defined as follows:</w:t>
      </w:r>
    </w:p>
    <w:p>
      <w:pPr>
        <w:pStyle w:val="TextBody"/>
        <w:bidi w:val="0"/>
        <w:spacing w:before="240" w:after="283"/>
        <w:ind w:left="850" w:right="0" w:hanging="0"/>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Cause” includes Mr. Taylor’s willful or grossly negligent misconduct that is materially injurious to the Company, embezzlement or misappropriation of funds or property of the Company, conviction of a felony or any crime involving fraud, dishonesty, moral turpitude or breach of trust, or willful failure or refusal to devote full business time and attention to the performance of duties.</w:t>
      </w:r>
    </w:p>
    <w:p>
      <w:pPr>
        <w:pStyle w:val="TextBody"/>
        <w:bidi w:val="0"/>
        <w:spacing w:before="240" w:after="283"/>
        <w:ind w:left="850" w:right="0" w:hanging="0"/>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Good reason” includes a material and adverse change in Mr. Taylor’s status or position with the Company, a 10% or greater reduction in his aggregate base salary and targeted annual incentive other than as part of general reduction in executive compensation, the failure by the Company or any successor to continue in effect any employee benefit plan in which he is participating other than as a result of normal expiration of such plan in accordance with its terms, or the relocation of his office more than 50 miles from the current office and further than his then-current residence.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receive the payment and benefits under the CIC Agreement, Mr. Taylor must, among other things, execute a customary release and comply with customary restrictive covenants set forth in his agreements with the Company.</w:t>
      </w:r>
    </w:p>
    <w:p>
      <w:pPr>
        <w:pStyle w:val="TextBody"/>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Severance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the Company and Mr. Taylor will enter into the Company’s standard Form of Severance Agreement between Trex Company, Inc. and executive officers other than the Chief Executive Officer (the Severance Agreement) on August 24, 2026 providing for the payment of severance compensation and benefits to him if the Company terminates his employment without Cause or if he resigns for Good Reason. For this purpose, Cause and Good Reason are defined in the same manner as in the CIC Agreement discussed above. Upon such a termination, Mr. Taylor will be entitled to receive the following:</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lump-sum cash payment equal to 1 times the sum of (1) Mr. Taylor’s base salary then in effect, plus (2) an amount equal to the greater of (a) Mr. Taylor’s targeted annual cash incentive for the year immediately prior to the year in which his employment terminates, or (b) Mr. Taylor’s actual annual cash incentive earned for the preceding year;</w:t>
      </w:r>
    </w:p>
    <w:p>
      <w:pPr>
        <w:pStyle w:val="HorizontalLine"/>
        <w:pBdr>
          <w:bottom w:val="double" w:sz="2" w:space="0" w:color="808080"/>
        </w:pBdr>
        <w:bidi w:val="0"/>
        <w:spacing w:before="0" w:after="283"/>
        <w:jc w:val="left"/>
        <w:rPr/>
      </w:pPr>
      <w:r>
        <w:rPr/>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health and dental plan benefits on the same terms and conditions as though the covered executive had remained an active employee (or payment of the necessary amount to obtain equivalent coverage if Company coverage is not possible), for the shorter of 12 months or until equivalent coverage is obtained from a new employer; and</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accelerated vesting of all outstanding long-term equity incentive awards, including, but not limited to, stock options, stock appreciation rights, restricted stock, restricted stock units and performance shares (at the targeted payment level).</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To receive the payment and benefits under the Severance Agreement, Mr. Taylor must, among other things, execute a customary release and comply with customary restrictive covenants set forth in his agreements with the Company.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foregoing description of Mr. Taylor’s CIC Agreement, Severance Agreement, and RSU Agreement with the Company is qualified in its entirety by reference to the Form of Change in Control Severance Agreement between Trex Company, Inc. and Officers other than the Chief Executive Officer filed as Exhibit 10.16 to the Company’s Annual Report on Form 10-K for the year ending December 31, 2016 filed on February 21, 2017,the Form of Severance Agreement between Trex Company, Inc. and Officers other than the Chief Executive Officer, filed as Exhibit 10.2 to the Company’s Quarterly Report on Form 10-Q for the quarter ending on June 30, 2025 filed on August 4, 2025, and the form of RSU Agreement (other than the vesting provisions of the RSUs which are as described above) filed as Exhibit 10.4 to the Quarterly Report on Form 10-Q for the Quarter ending September 30, 2024 filed on October 28, 2024,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August 24, 2026 the Company issued a press release announcing the appointment of Mr. Taylor as Senior Vice President and Chief Commercial Officer. A copy of this press release is furnished as Exhibit 99.1 hereto.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information provided pursuant to Item 7.01, including Exhibit 99.1 attached hereto, shall not be deemed "filed" for purposes of Section 18 of the Securities Exchange Act of 1934 (the "Exchange Act"), or otherwise subject to the liabilities of that section, nor shall it be deemed incorporated by reference into any filing under the Securities Act of 1933 or the Exchange Act, except as shall be expressly set forth by specific reference in such a filing.</w:t>
      </w:r>
    </w:p>
    <w:p>
      <w:pPr>
        <w:pStyle w:val="TextBody"/>
        <w:bidi w:val="0"/>
        <w:spacing w:before="240" w:after="283"/>
        <w:ind w:left="0" w:right="0" w:firstLine="490"/>
        <w:jc w:val="left"/>
        <w:rPr/>
      </w:pPr>
      <w:r>
        <w:rPr/>
        <w:t>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120" w:after="120"/>
        <w:ind w:left="0" w:right="0" w:firstLine="720"/>
        <w:jc w:val="left"/>
        <w:rPr>
          <w:rFonts w:ascii="Times New Roman" w:hAnsi="Times New Roman"/>
          <w:b w:val="false"/>
          <w:color w:val="000000"/>
          <w:sz w:val="20"/>
        </w:rPr>
      </w:pPr>
      <w:r>
        <w:rPr>
          <w:rFonts w:ascii="Times New Roman" w:hAnsi="Times New Roman"/>
          <w:b w:val="false"/>
          <w:color w:val="000000"/>
          <w:sz w:val="20"/>
        </w:rPr>
        <w:t>(d) Trex Company, Inc. herewith furnishes the following exhibits:</w:t>
      </w:r>
    </w:p>
    <w:p>
      <w:pPr>
        <w:pStyle w:val="Heading2"/>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09"/>
        <w:gridCol w:w="9285"/>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5"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before="0" w:after="283"/>
              <w:jc w:val="left"/>
              <w:rPr/>
            </w:pPr>
            <w:hyperlink w:anchor="trex-ex99_1.htm">
              <w:r>
                <w:rPr>
                  <w:rStyle w:val="InternetLink"/>
                  <w:rFonts w:ascii="Times New Roman" w:hAnsi="Times New Roman"/>
                  <w:color w:val="0000FF"/>
                  <w:sz w:val="20"/>
                  <w:u w:val="single"/>
                </w:rPr>
                <w:t>Press release dated August 24, 2026, announcing the appointment of Brian J. Taylor as Chief Commercial Officer of the Company.</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45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TREX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Prithvi S. Gandhi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Prithvi S. Gandhi</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ex-ex99_1.htm"/>
      <w:bookmarkStart w:id="3" w:name="kstrex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ind w:left="5040" w:right="0" w:firstLine="720"/>
        <w:jc w:val="left"/>
        <w:rPr/>
      </w:pPr>
      <w:r>
        <w:rPr/>
        <w:t> </w:t>
      </w:r>
    </w:p>
    <w:tbl>
      <w:tblPr>
        <w:tblW w:w="7342" w:type="dxa"/>
        <w:jc w:val="left"/>
        <w:tblInd w:w="0" w:type="dxa"/>
        <w:tblLayout w:type="fixed"/>
        <w:tblCellMar>
          <w:top w:w="28" w:type="dxa"/>
          <w:left w:w="28" w:type="dxa"/>
          <w:bottom w:w="28" w:type="dxa"/>
          <w:right w:w="28" w:type="dxa"/>
        </w:tblCellMar>
      </w:tblPr>
      <w:tblGrid>
        <w:gridCol w:w="2996"/>
        <w:gridCol w:w="4346"/>
      </w:tblGrid>
      <w:tr>
        <w:trPr/>
        <w:tc>
          <w:tcPr>
            <w:tcW w:w="2996" w:type="dxa"/>
            <w:tcBorders/>
            <w:vAlign w:val="center"/>
          </w:tcPr>
          <w:p>
            <w:pPr>
              <w:pStyle w:val="TableContents"/>
              <w:bidi w:val="0"/>
              <w:spacing w:before="0" w:after="283"/>
              <w:jc w:val="left"/>
              <w:rPr>
                <w:sz w:val="4"/>
                <w:szCs w:val="4"/>
              </w:rPr>
            </w:pPr>
            <w:r>
              <w:rPr>
                <w:sz w:val="4"/>
                <w:szCs w:val="4"/>
              </w:rPr>
            </w:r>
          </w:p>
        </w:tc>
        <w:tc>
          <w:tcPr>
            <w:tcW w:w="434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996" w:type="dxa"/>
            <w:tcBorders/>
            <w:tcMar>
              <w:top w:w="0" w:type="dxa"/>
              <w:left w:w="0" w:type="dxa"/>
              <w:bottom w:w="0" w:type="dxa"/>
              <w:right w:w="0" w:type="dxa"/>
            </w:tcMar>
            <w:vAlign w:val="center"/>
          </w:tcPr>
          <w:p>
            <w:pPr>
              <w:pStyle w:val="TableContents"/>
              <w:pBdr/>
              <w:bidi w:val="0"/>
              <w:spacing w:before="0" w:after="283"/>
              <w:ind w:left="0" w:right="0" w:hanging="180"/>
              <w:jc w:val="left"/>
              <w:rPr/>
            </w:pPr>
            <w:r>
              <w:rPr/>
              <w:drawing>
                <wp:inline distT="0" distB="0" distL="0" distR="0">
                  <wp:extent cx="18383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619125"/>
                          </a:xfrm>
                          <a:prstGeom prst="rect">
                            <a:avLst/>
                          </a:prstGeom>
                        </pic:spPr>
                      </pic:pic>
                    </a:graphicData>
                  </a:graphic>
                </wp:inline>
              </w:drawing>
            </w:r>
          </w:p>
        </w:tc>
        <w:tc>
          <w:tcPr>
            <w:tcW w:w="434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drawing>
                <wp:inline distT="0" distB="0" distL="0" distR="0">
                  <wp:extent cx="7715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1525" cy="476250"/>
                          </a:xfrm>
                          <a:prstGeom prst="rect">
                            <a:avLst/>
                          </a:prstGeom>
                        </pic:spPr>
                      </pic:pic>
                    </a:graphicData>
                  </a:graphic>
                </wp:inline>
              </w:drawing>
            </w:r>
            <w:r>
              <w:rPr>
                <w:color w:val="000000"/>
              </w:rPr>
              <w:t xml:space="preserve"> </w:t>
            </w:r>
            <w:r>
              <w:rPr/>
              <w:drawing>
                <wp:inline distT="0" distB="0" distL="0" distR="0">
                  <wp:extent cx="9048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 cy="333375"/>
                          </a:xfrm>
                          <a:prstGeom prst="rect">
                            <a:avLst/>
                          </a:prstGeom>
                        </pic:spPr>
                      </pic:pic>
                    </a:graphicData>
                  </a:graphic>
                </wp:inline>
              </w:drawing>
            </w:r>
            <w:r>
              <w:rPr>
                <w:color w:val="000000"/>
              </w:rPr>
              <w:t xml:space="preserve"> </w:t>
            </w:r>
            <w:r>
              <w:rPr/>
              <w:drawing>
                <wp:inline distT="0" distB="0" distL="0" distR="0">
                  <wp:extent cx="466725"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6725" cy="514350"/>
                          </a:xfrm>
                          <a:prstGeom prst="rect">
                            <a:avLst/>
                          </a:prstGeom>
                        </pic:spPr>
                      </pic:pic>
                    </a:graphicData>
                  </a:graphic>
                </wp:inline>
              </w:drawing>
            </w:r>
          </w:p>
        </w:tc>
      </w:tr>
    </w:tbl>
    <w:p>
      <w:pPr>
        <w:pStyle w:val="TextBody"/>
        <w:bidi w:val="0"/>
        <w:jc w:val="right"/>
        <w:rPr/>
      </w:pPr>
      <w:r>
        <w:rPr/>
        <w:t> </w:t>
      </w:r>
    </w:p>
    <w:p>
      <w:pPr>
        <w:pStyle w:val="TextBody"/>
        <w:bidi w:val="0"/>
        <w:jc w:val="right"/>
        <w:rPr>
          <w:rFonts w:ascii="Arial" w:hAnsi="Arial"/>
          <w:color w:val="000000"/>
          <w:sz w:val="22"/>
        </w:rPr>
      </w:pPr>
      <w:r>
        <w:rPr>
          <w:rFonts w:ascii="Arial" w:hAnsi="Arial"/>
          <w:color w:val="000000"/>
          <w:sz w:val="22"/>
        </w:rPr>
        <w:t>Contact: Corinne Racine or Sara Camp</w:t>
      </w:r>
    </w:p>
    <w:p>
      <w:pPr>
        <w:pStyle w:val="TextBody"/>
        <w:bidi w:val="0"/>
        <w:jc w:val="right"/>
        <w:rPr>
          <w:rFonts w:ascii="Times New Roman" w:hAnsi="Times New Roman"/>
          <w:sz w:val="20"/>
        </w:rPr>
      </w:pPr>
      <w:r>
        <w:rPr>
          <w:rFonts w:ascii="Arial" w:hAnsi="Arial"/>
          <w:color w:val="000000"/>
          <w:sz w:val="22"/>
        </w:rPr>
        <w:t>L.C. Williams &amp; Associates</w:t>
      </w:r>
      <w:r>
        <w:rPr>
          <w:rFonts w:ascii="Times New Roman" w:hAnsi="Times New Roman"/>
          <w:color w:val="000000"/>
          <w:sz w:val="20"/>
        </w:rPr>
        <w:t xml:space="preserve"> </w:t>
      </w:r>
    </w:p>
    <w:p>
      <w:pPr>
        <w:pStyle w:val="TextBody"/>
        <w:bidi w:val="0"/>
        <w:jc w:val="right"/>
        <w:rPr>
          <w:rFonts w:ascii="Arial" w:hAnsi="Arial"/>
          <w:color w:val="000000"/>
          <w:sz w:val="22"/>
        </w:rPr>
      </w:pPr>
      <w:r>
        <w:rPr>
          <w:rFonts w:ascii="Arial" w:hAnsi="Arial"/>
          <w:color w:val="000000"/>
          <w:sz w:val="22"/>
        </w:rPr>
        <w:t>312/565-3900</w:t>
      </w:r>
    </w:p>
    <w:p>
      <w:pPr>
        <w:pStyle w:val="TextBody"/>
        <w:bidi w:val="0"/>
        <w:ind w:left="5040" w:right="0" w:hanging="0"/>
        <w:jc w:val="left"/>
        <w:rPr>
          <w:rFonts w:ascii="Times New Roman" w:hAnsi="Times New Roman"/>
          <w:sz w:val="20"/>
        </w:rPr>
      </w:pPr>
      <w:r>
        <w:rPr>
          <w:rFonts w:ascii="Arial" w:hAnsi="Arial"/>
          <w:color w:val="000000"/>
          <w:sz w:val="22"/>
        </w:rPr>
        <w:t>cracine@lcwa.com</w:t>
      </w:r>
      <w:r>
        <w:rPr>
          <w:rFonts w:ascii="Times New Roman" w:hAnsi="Times New Roman"/>
          <w:color w:val="0000FF"/>
          <w:sz w:val="20"/>
        </w:rPr>
        <w:t xml:space="preserve"> </w:t>
      </w:r>
      <w:r>
        <w:rPr>
          <w:rFonts w:ascii="Arial" w:hAnsi="Arial"/>
          <w:color w:val="000000"/>
          <w:sz w:val="22"/>
        </w:rPr>
        <w:t>or scamp@lcwa.com</w:t>
      </w:r>
    </w:p>
    <w:p>
      <w:pPr>
        <w:pStyle w:val="TextBody"/>
        <w:bidi w:val="0"/>
        <w:jc w:val="center"/>
        <w:rPr>
          <w:rFonts w:ascii="Arial" w:hAnsi="Arial"/>
          <w:b/>
          <w:color w:val="000000"/>
          <w:sz w:val="28"/>
        </w:rPr>
      </w:pPr>
      <w:r>
        <w:rPr>
          <w:rFonts w:ascii="Arial" w:hAnsi="Arial"/>
          <w:b/>
          <w:color w:val="000000"/>
          <w:sz w:val="28"/>
        </w:rPr>
        <w:t>Trex Company Appoints Brian J. Taylor as Chief Commercial Officer</w:t>
      </w:r>
    </w:p>
    <w:p>
      <w:pPr>
        <w:pStyle w:val="TextBody"/>
        <w:bidi w:val="0"/>
        <w:jc w:val="center"/>
        <w:rPr/>
      </w:pPr>
      <w:r>
        <w:rPr/>
        <w:t> </w:t>
      </w:r>
    </w:p>
    <w:p>
      <w:pPr>
        <w:pStyle w:val="TextBody"/>
        <w:bidi w:val="0"/>
        <w:jc w:val="center"/>
        <w:rPr>
          <w:rFonts w:ascii="Arial" w:hAnsi="Arial"/>
          <w:b/>
          <w:i/>
          <w:color w:val="000000"/>
          <w:sz w:val="22"/>
        </w:rPr>
      </w:pPr>
      <w:r>
        <w:rPr>
          <w:rFonts w:ascii="Arial" w:hAnsi="Arial"/>
          <w:b/>
          <w:i/>
          <w:color w:val="000000"/>
          <w:sz w:val="22"/>
        </w:rPr>
        <w:t>Industry veteran brings more than 25 years of sales, marketing, and commercial leadership experience to newly created role</w:t>
      </w:r>
    </w:p>
    <w:p>
      <w:pPr>
        <w:pStyle w:val="TextBody"/>
        <w:bidi w:val="0"/>
        <w:spacing w:before="0" w:after="120"/>
        <w:jc w:val="left"/>
        <w:rPr/>
      </w:pPr>
      <w:r>
        <w:rPr/>
        <w:t> </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7629"/>
      </w:tblGrid>
      <w:tr>
        <w:trPr/>
        <w:tc>
          <w:tcPr>
            <w:tcW w:w="2576" w:type="dxa"/>
            <w:tcBorders/>
            <w:vAlign w:val="center"/>
          </w:tcPr>
          <w:p>
            <w:pPr>
              <w:pStyle w:val="TableContents"/>
              <w:bidi w:val="0"/>
              <w:spacing w:before="0" w:after="283"/>
              <w:jc w:val="left"/>
              <w:rPr>
                <w:sz w:val="4"/>
                <w:szCs w:val="4"/>
              </w:rPr>
            </w:pPr>
            <w:r>
              <w:rPr>
                <w:sz w:val="4"/>
                <w:szCs w:val="4"/>
              </w:rPr>
            </w:r>
          </w:p>
        </w:tc>
        <w:tc>
          <w:tcPr>
            <w:tcW w:w="7629" w:type="dxa"/>
            <w:tcBorders/>
            <w:vAlign w:val="center"/>
          </w:tcPr>
          <w:p>
            <w:pPr>
              <w:pStyle w:val="TableContents"/>
              <w:bidi w:val="0"/>
              <w:spacing w:before="0" w:after="283"/>
              <w:jc w:val="left"/>
              <w:rPr>
                <w:sz w:val="4"/>
                <w:szCs w:val="4"/>
              </w:rPr>
            </w:pPr>
            <w:r>
              <w:rPr>
                <w:sz w:val="4"/>
                <w:szCs w:val="4"/>
              </w:rPr>
            </w:r>
          </w:p>
        </w:tc>
      </w:tr>
      <w:tr>
        <w:trPr/>
        <w:tc>
          <w:tcPr>
            <w:tcW w:w="257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71625" cy="2076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71625" cy="2076450"/>
                          </a:xfrm>
                          <a:prstGeom prst="rect">
                            <a:avLst/>
                          </a:prstGeom>
                        </pic:spPr>
                      </pic:pic>
                    </a:graphicData>
                  </a:graphic>
                </wp:inline>
              </w:drawing>
            </w:r>
          </w:p>
        </w:tc>
        <w:tc>
          <w:tcPr>
            <w:tcW w:w="762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2"/>
              </w:rPr>
            </w:pPr>
            <w:r>
              <w:rPr>
                <w:rFonts w:ascii="Arial" w:hAnsi="Arial"/>
                <w:b/>
                <w:color w:val="000000"/>
                <w:sz w:val="22"/>
              </w:rPr>
              <w:t>WINCHESTER, Va., August 24, 2026</w:t>
            </w:r>
            <w:r>
              <w:rPr>
                <w:rFonts w:ascii="Times New Roman" w:hAnsi="Times New Roman"/>
                <w:color w:val="000000"/>
                <w:sz w:val="22"/>
              </w:rPr>
              <w:t> </w:t>
            </w:r>
            <w:r>
              <w:rPr>
                <w:rFonts w:ascii="Arial" w:hAnsi="Arial"/>
                <w:color w:val="000000"/>
                <w:sz w:val="22"/>
              </w:rPr>
              <w:t xml:space="preserve">- Trex Company (NYSE: TREX), the world's largest manufacturer of wood-alternative decking and railing, today announced the appointment of </w:t>
            </w:r>
            <w:r>
              <w:rPr>
                <w:rFonts w:ascii="Arial" w:hAnsi="Arial"/>
                <w:b/>
                <w:color w:val="000000"/>
                <w:sz w:val="22"/>
              </w:rPr>
              <w:t>Brian J. Taylor</w:t>
            </w:r>
            <w:r>
              <w:rPr>
                <w:rFonts w:ascii="Times New Roman" w:hAnsi="Times New Roman"/>
                <w:color w:val="000000"/>
                <w:sz w:val="22"/>
              </w:rPr>
              <w:t> </w:t>
            </w:r>
            <w:r>
              <w:rPr>
                <w:rFonts w:ascii="Arial" w:hAnsi="Arial"/>
                <w:color w:val="000000"/>
                <w:sz w:val="22"/>
              </w:rPr>
              <w:t xml:space="preserve">as the company's first </w:t>
            </w:r>
            <w:r>
              <w:rPr>
                <w:rFonts w:ascii="Arial" w:hAnsi="Arial"/>
                <w:b/>
                <w:color w:val="000000"/>
                <w:sz w:val="22"/>
              </w:rPr>
              <w:t>Chief Commercial Officer (CCO)</w:t>
            </w:r>
            <w:r>
              <w:rPr>
                <w:rFonts w:ascii="Arial" w:hAnsi="Arial"/>
                <w:color w:val="000000"/>
                <w:sz w:val="22"/>
              </w:rPr>
              <w:t>.</w:t>
            </w:r>
          </w:p>
          <w:p>
            <w:pPr>
              <w:pStyle w:val="TableContents"/>
              <w:bidi w:val="0"/>
              <w:spacing w:before="0" w:after="120"/>
              <w:jc w:val="left"/>
              <w:rPr>
                <w:rFonts w:ascii="Arial" w:hAnsi="Arial"/>
                <w:color w:val="000000"/>
                <w:sz w:val="22"/>
              </w:rPr>
            </w:pPr>
            <w:r>
              <w:rPr>
                <w:rFonts w:ascii="Arial" w:hAnsi="Arial"/>
                <w:color w:val="000000"/>
                <w:sz w:val="22"/>
              </w:rPr>
              <w:t>In this newly created role, Taylor will lead Trex's commercial organization, with responsibility for sales, marketing, and information technology. In bringing these functions together, Trex is creating a more integrated, customer-focused approach to demand generation, channel engagement, digital capabilities, and revenue growth.</w:t>
            </w:r>
          </w:p>
          <w:p>
            <w:pPr>
              <w:pStyle w:val="TableContents"/>
              <w:bidi w:val="0"/>
              <w:spacing w:before="0" w:after="283"/>
              <w:jc w:val="left"/>
              <w:rPr/>
            </w:pPr>
            <w:r>
              <w:rPr/>
              <w:t> </w:t>
            </w:r>
          </w:p>
        </w:tc>
      </w:tr>
    </w:tbl>
    <w:p>
      <w:pPr>
        <w:pStyle w:val="TextBody"/>
        <w:bidi w:val="0"/>
        <w:spacing w:before="0" w:after="120"/>
        <w:jc w:val="left"/>
        <w:rPr>
          <w:rFonts w:ascii="Arial" w:hAnsi="Arial"/>
          <w:color w:val="000000"/>
          <w:sz w:val="22"/>
        </w:rPr>
      </w:pPr>
      <w:r>
        <w:rPr>
          <w:rFonts w:ascii="Arial" w:hAnsi="Arial"/>
          <w:color w:val="000000"/>
          <w:sz w:val="22"/>
        </w:rPr>
        <w:t>"We see significant opportunity to further align our commercial capabilities and drive growth through enhanced customer experience," said Adam Zambanini, President and Chief Executive Officer of Trex Company. "During our national search, it became clear that Brian’s varied experience leading sales, marketing, and digital transformation teams positions him well to lead this integrated new function within Trex. In addition, his proven track record driving profitable growth and developing high-performing teams within large commercial organizations provides us with strong confidence in his ability to lead execution and create long-term value for our stakeholders. We are excited to welcome him to Trex."</w:t>
      </w:r>
    </w:p>
    <w:p>
      <w:pPr>
        <w:pStyle w:val="TextBody"/>
        <w:bidi w:val="0"/>
        <w:spacing w:before="0" w:after="120"/>
        <w:jc w:val="left"/>
        <w:rPr>
          <w:rFonts w:ascii="Arial" w:hAnsi="Arial"/>
          <w:color w:val="000000"/>
          <w:sz w:val="22"/>
        </w:rPr>
      </w:pPr>
      <w:r>
        <w:rPr>
          <w:rFonts w:ascii="Arial" w:hAnsi="Arial"/>
          <w:color w:val="000000"/>
          <w:sz w:val="22"/>
        </w:rPr>
        <w:t>Taylor joins Trex from POOLCORP, the world's largest wholesale distributor of swimming pool supplies, equipment and outdoor living products, where he served as Vice President of Sales for North America. In that role, he led commercial strategy and execution across a multi-billion-dollar business, overseeing sales transformation initiatives, pricing optimization, national accounts and digital sales platforms.</w:t>
      </w:r>
    </w:p>
    <w:p>
      <w:pPr>
        <w:pStyle w:val="TextBody"/>
        <w:bidi w:val="0"/>
        <w:spacing w:before="0" w:after="120"/>
        <w:jc w:val="left"/>
        <w:rPr>
          <w:rFonts w:ascii="Arial" w:hAnsi="Arial"/>
          <w:color w:val="000000"/>
          <w:sz w:val="22"/>
        </w:rPr>
      </w:pPr>
      <w:r>
        <w:rPr>
          <w:rFonts w:ascii="Arial" w:hAnsi="Arial"/>
          <w:color w:val="000000"/>
          <w:sz w:val="22"/>
        </w:rPr>
        <w:t>Prior to POOLCORP, Taylor spent 24 years with The Sherwin-Williams Company, where he served in a series of leadership positions across sales and marketing including serving as Senior Vice President of Global Marketing &amp; Sales for the company's $6.8 billion Performance Coatings Group. During his tenure, he led initiatives that accelerated growth, improved profitability, advanced digital capabilities, and enhanced commercial integration across multiple business units. He also served as Senior Vice President of Sales &amp; Marketing for Sherwin-Williams' North American Paint Stores Group, helping lead an $11.2 billion commercial organization supporting thousands of sales professionals and retail locations.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r>
        <w:rPr>
          <w:rFonts w:ascii="Arial" w:hAnsi="Arial"/>
          <w:color w:val="000000"/>
          <w:sz w:val="22"/>
        </w:rPr>
        <w:t>I am thrilled to join Trex at such a transformational moment in the company’s history,” said Taylor. “Trex is incredibly well positioned to leverage the intersection of our brand, our channel partners and our digital capabilities to better serve customers and drive sustained growth.”</w:t>
      </w:r>
    </w:p>
    <w:p>
      <w:pPr>
        <w:pStyle w:val="TextBody"/>
        <w:bidi w:val="0"/>
        <w:spacing w:before="0" w:after="120"/>
        <w:jc w:val="left"/>
        <w:rPr>
          <w:rFonts w:ascii="Arial" w:hAnsi="Arial"/>
          <w:color w:val="000000"/>
          <w:sz w:val="22"/>
        </w:rPr>
      </w:pPr>
      <w:r>
        <w:rPr>
          <w:rFonts w:ascii="Arial" w:hAnsi="Arial"/>
          <w:color w:val="000000"/>
          <w:sz w:val="22"/>
        </w:rPr>
        <w:t>Trex recently launched five strategic priorities to define a focused, durable path to long-term profitable growth and increased shareholder value. The Chief Commercial Officer position will drive three of those key functions including: creating an unbreakable bond with end users, optimizing channels for growth, and enabling growth through enhanced data-driven decision making. By unifying these strategic priorities and the commercial team under one senior leader, Trex will improve commercial execution, deepen customer engagement, and support continued market share gains across the outdoor living category.</w:t>
      </w:r>
    </w:p>
    <w:p>
      <w:pPr>
        <w:pStyle w:val="TextBody"/>
        <w:bidi w:val="0"/>
        <w:spacing w:before="0" w:after="120"/>
        <w:jc w:val="left"/>
        <w:rPr>
          <w:rFonts w:ascii="Arial" w:hAnsi="Arial"/>
          <w:color w:val="000000"/>
          <w:sz w:val="22"/>
        </w:rPr>
      </w:pPr>
      <w:r>
        <w:rPr>
          <w:rFonts w:ascii="Arial" w:hAnsi="Arial"/>
          <w:color w:val="000000"/>
          <w:sz w:val="22"/>
        </w:rPr>
        <w:t>Taylor holds a Bachelor of Science in Marketing Management from Sacred Heart University and an MBA from Pace University's Lubin School of Business.</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 #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u w:val="single"/>
        </w:rPr>
        <w:t>About Trex Company,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For more than 30 years, Trex Company [NYSE: TREX] has invented, reinvented and defined the wood-alternative decking category. Today, the company is the world’s #1 brand of premium, sustainable, wood-alternative decking and residential railing, and a leader in high-performance, low-maintenance outdoor living products. Boasting the industry’s strongest distribution network, Trex sells products through more than 6,700 retail outlets across six continents. Through strategic licensing agreements, the company offers a comprehensive outdoor living portfolio that includes deck drainage, flashing tapes, deck lighting, outdoor kitchen components, fencing, pergolas, spiral stairs, lattice, cornhole and outdoor furniture – all marketed under the Trex</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brand.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Based in Winchester, Va., Trex is proud to have been named </w:t>
      </w:r>
      <w:r>
        <w:rPr>
          <w:rFonts w:ascii="Arial" w:hAnsi="Arial"/>
          <w:sz w:val="20"/>
        </w:rPr>
        <w:t>America’s Most Trusted® Outdoor Decking</w:t>
      </w:r>
      <w:r>
        <w:rPr>
          <w:rFonts w:ascii="Arial" w:hAnsi="Arial"/>
          <w:color w:val="000000"/>
          <w:sz w:val="20"/>
        </w:rPr>
        <w:t xml:space="preserve">^ for the past 6 years (2021-2026) and included in Newsweek’s list of the </w:t>
      </w:r>
      <w:r>
        <w:rPr>
          <w:rFonts w:ascii="Arial" w:hAnsi="Arial"/>
          <w:sz w:val="20"/>
        </w:rPr>
        <w:t>Most Trustworthy Companies in America 2026</w:t>
      </w:r>
      <w:r>
        <w:rPr>
          <w:rFonts w:ascii="Arial" w:hAnsi="Arial"/>
          <w:color w:val="000000"/>
          <w:sz w:val="20"/>
        </w:rPr>
        <w:t>. Additionally, USA Today included Trex on its 2026 list of “</w:t>
      </w:r>
      <w:r>
        <w:rPr>
          <w:rFonts w:ascii="Arial" w:hAnsi="Arial"/>
          <w:sz w:val="20"/>
        </w:rPr>
        <w:t>America’s Climate Leaders</w:t>
      </w:r>
      <w:r>
        <w:rPr>
          <w:rFonts w:ascii="Arial" w:hAnsi="Arial"/>
          <w:color w:val="000000"/>
          <w:sz w:val="20"/>
        </w:rPr>
        <w:t xml:space="preserve">.” The company has also been ranked on Barron’s list of the </w:t>
      </w:r>
      <w:r>
        <w:rPr>
          <w:rFonts w:ascii="Arial" w:hAnsi="Arial"/>
          <w:sz w:val="20"/>
        </w:rPr>
        <w:t>100 Most Sustainable U.S. Companies</w:t>
      </w:r>
      <w:r>
        <w:rPr>
          <w:rFonts w:ascii="Times New Roman" w:hAnsi="Times New Roman"/>
          <w:color w:val="000000"/>
          <w:sz w:val="20"/>
        </w:rPr>
        <w:t xml:space="preserve"> </w:t>
      </w:r>
      <w:r>
        <w:rPr>
          <w:rFonts w:ascii="Arial" w:hAnsi="Arial"/>
          <w:color w:val="000000"/>
          <w:sz w:val="20"/>
        </w:rPr>
        <w:t xml:space="preserve">(2024 and 2025), was named one of </w:t>
      </w:r>
      <w:r>
        <w:rPr>
          <w:rFonts w:ascii="Arial" w:hAnsi="Arial"/>
          <w:sz w:val="20"/>
        </w:rPr>
        <w:t>America’s Most Responsible Companies</w:t>
      </w:r>
      <w:r>
        <w:rPr>
          <w:rFonts w:ascii="Times New Roman" w:hAnsi="Times New Roman"/>
          <w:sz w:val="20"/>
        </w:rPr>
        <w:t xml:space="preserve"> </w:t>
      </w:r>
      <w:r>
        <w:rPr>
          <w:rFonts w:ascii="Arial" w:hAnsi="Arial"/>
          <w:sz w:val="22"/>
        </w:rPr>
        <w:t>2024</w:t>
      </w:r>
      <w:r>
        <w:rPr>
          <w:rFonts w:ascii="Times New Roman" w:hAnsi="Times New Roman"/>
          <w:color w:val="000000"/>
          <w:sz w:val="20"/>
        </w:rPr>
        <w:t xml:space="preserve"> </w:t>
      </w:r>
      <w:r>
        <w:rPr>
          <w:rFonts w:ascii="Arial" w:hAnsi="Arial"/>
          <w:color w:val="000000"/>
          <w:sz w:val="20"/>
        </w:rPr>
        <w:t xml:space="preserve">by Newsweek, highlighted as one of the </w:t>
      </w:r>
      <w:r>
        <w:rPr>
          <w:rFonts w:ascii="Arial" w:hAnsi="Arial"/>
          <w:sz w:val="20"/>
        </w:rPr>
        <w:t>100 Best ESG Companies</w:t>
      </w:r>
      <w:r>
        <w:rPr>
          <w:rFonts w:ascii="Times New Roman" w:hAnsi="Times New Roman"/>
          <w:color w:val="000000"/>
          <w:sz w:val="20"/>
        </w:rPr>
        <w:t xml:space="preserve"> </w:t>
      </w:r>
      <w:r>
        <w:rPr>
          <w:rFonts w:ascii="Arial" w:hAnsi="Arial"/>
          <w:color w:val="000000"/>
          <w:sz w:val="20"/>
        </w:rPr>
        <w:t xml:space="preserve">by Investor’s Business Daily, and named the </w:t>
      </w:r>
      <w:r>
        <w:rPr>
          <w:rFonts w:ascii="Arial" w:hAnsi="Arial"/>
          <w:sz w:val="20"/>
        </w:rPr>
        <w:t>Sustainable Brand Leader</w:t>
      </w:r>
      <w:r>
        <w:rPr>
          <w:rFonts w:ascii="Times New Roman" w:hAnsi="Times New Roman"/>
          <w:color w:val="000000"/>
          <w:sz w:val="20"/>
        </w:rPr>
        <w:t xml:space="preserve"> </w:t>
      </w:r>
      <w:r>
        <w:rPr>
          <w:rFonts w:ascii="Arial" w:hAnsi="Arial"/>
          <w:color w:val="000000"/>
          <w:sz w:val="20"/>
        </w:rPr>
        <w:t xml:space="preserve">in the decking category by Green Builder Media for 16 consecutive years. For more information, visit </w:t>
      </w:r>
      <w:r>
        <w:rPr>
          <w:rFonts w:ascii="Arial" w:hAnsi="Arial"/>
          <w:sz w:val="20"/>
        </w:rPr>
        <w:t>Trex.com</w:t>
      </w:r>
      <w:r>
        <w:rPr>
          <w:rFonts w:ascii="Arial" w:hAnsi="Arial"/>
          <w:color w:val="000000"/>
          <w:sz w:val="20"/>
        </w:rPr>
        <w:t>. You may also follow Trex on Facebook (trexcompany), Instagram (trexcompany), X (Trex_Company), LinkedIn (trex-company), TikTok (trexcompany), Pinterest (trexcompany) and Houzz (trex-company-inc), or view product and demonstration videos on the brand’s YouTube channel (TheTrexCo).</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8"/>
          <w:u w:val="single"/>
        </w:rPr>
        <w:t>^2021-2026 DISCLAIMER</w:t>
      </w:r>
      <w:r>
        <w:rPr>
          <w:rFonts w:ascii="Arial" w:hAnsi="Arial"/>
          <w:i/>
          <w:color w:val="000000"/>
          <w:sz w:val="18"/>
        </w:rPr>
        <w:t>: Trex received the highest numerical score in the proprietary Lifestory Research 2021-2026 America’s Most Trusted</w:t>
      </w:r>
      <w:r>
        <w:rPr>
          <w:rFonts w:ascii="Arial" w:hAnsi="Arial"/>
          <w:i/>
          <w:color w:val="000000"/>
          <w:sz w:val="12"/>
        </w:rPr>
        <w:t>®</w:t>
      </w:r>
      <w:r>
        <w:rPr>
          <w:rFonts w:ascii="Times New Roman" w:hAnsi="Times New Roman"/>
          <w:color w:val="000000"/>
          <w:sz w:val="20"/>
        </w:rPr>
        <w:t xml:space="preserve"> </w:t>
      </w:r>
      <w:r>
        <w:rPr>
          <w:rFonts w:ascii="Arial" w:hAnsi="Arial"/>
          <w:i/>
          <w:color w:val="000000"/>
          <w:sz w:val="18"/>
        </w:rPr>
        <w:t xml:space="preserve">Outdoor Decking studies. Study results are based on the experiences and perceptions of people surveyed. Your experiences may vary. Visit </w:t>
      </w:r>
      <w:r>
        <w:rPr>
          <w:rFonts w:ascii="Arial" w:hAnsi="Arial"/>
          <w:i/>
          <w:sz w:val="18"/>
        </w:rPr>
        <w:t>www.lifestoryresearch.com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3339</Words>
  <Characters>18251</Characters>
  <CharactersWithSpaces>21550</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