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ex-20260714.htm"/>
      <w:bookmarkStart w:id="1" w:name="kstrex202607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Trex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001-14649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2500 Trex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540</w:t>
            </w:r>
            <w:r>
              <w:rPr>
                <w:rFonts w:ascii="Times New Roman" w:hAnsi="Times New Roman"/>
                <w:color w:val="000000"/>
                <w:sz w:val="20"/>
              </w:rPr>
              <w:t xml:space="preserve"> </w:t>
            </w:r>
            <w:r>
              <w:rPr>
                <w:rFonts w:ascii="Times New Roman" w:hAnsi="Times New Roman"/>
                <w:b/>
                <w:color w:val="000000"/>
                <w:sz w:val="20"/>
              </w:rPr>
              <w:t xml:space="preserve">542-6300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212121"/>
          <w:sz w:val="22"/>
        </w:rPr>
        <w:t xml:space="preserve">During a conference call held on July 13, 2026 at 5:00pm ET, management of Trex Company, Inc. (the “Company”) incorrectly referenced full-year Adjusted EBITDA guidance of $330 to $345 million. The Company's press release issued prior to such conference call </w:t>
      </w:r>
      <w:r>
        <w:rPr>
          <w:rFonts w:ascii="Times New Roman" w:hAnsi="Times New Roman"/>
          <w:color w:val="000000"/>
          <w:sz w:val="22"/>
        </w:rPr>
        <w:t>at 4:05pm</w:t>
      </w:r>
      <w:r>
        <w:rPr>
          <w:rFonts w:ascii="Times New Roman" w:hAnsi="Times New Roman"/>
          <w:color w:val="212121"/>
          <w:sz w:val="20"/>
        </w:rPr>
        <w:t xml:space="preserve"> </w:t>
      </w:r>
      <w:r>
        <w:rPr>
          <w:rFonts w:ascii="Times New Roman" w:hAnsi="Times New Roman"/>
          <w:color w:val="212121"/>
          <w:sz w:val="22"/>
        </w:rPr>
        <w:t>ET correctly stated guidance of $335 to $350 million, which guidance remains unchanged.</w:t>
      </w:r>
      <w:r>
        <w:rPr>
          <w:rFonts w:ascii="Times New Roman" w:hAnsi="Times New Roman"/>
          <w:color w:val="212121"/>
          <w:sz w:val="20"/>
        </w:rPr>
        <w:t xml:space="preserve"> </w:t>
      </w:r>
    </w:p>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64" w:type="dxa"/>
        <w:jc w:val="left"/>
        <w:tblInd w:w="0" w:type="dxa"/>
        <w:tblLayout w:type="fixed"/>
        <w:tblCellMar>
          <w:top w:w="28" w:type="dxa"/>
          <w:left w:w="28" w:type="dxa"/>
          <w:bottom w:w="28" w:type="dxa"/>
          <w:right w:w="28" w:type="dxa"/>
        </w:tblCellMar>
      </w:tblPr>
      <w:tblGrid>
        <w:gridCol w:w="556"/>
        <w:gridCol w:w="121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TREX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b/>
                <w:color w:val="000000"/>
                <w:sz w:val="20"/>
              </w:rPr>
            </w:pPr>
            <w:r>
              <w:rPr>
                <w:rFonts w:ascii="Times New Roman" w:hAnsi="Times New Roman"/>
                <w:b/>
                <w:color w:val="000000"/>
                <w:sz w:val="20"/>
              </w:rPr>
              <w:t>/S/ PRITHVI S. GANDHI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Prithvi S. Gandhi</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406</Words>
  <Characters>2235</Characters>
  <CharactersWithSpaces>2640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