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w:t>
      </w:r>
      <w:r>
        <w:rPr>
          <w:rFonts w:ascii="Times New Roman" w:cs="Times New Roman" w:eastAsia="Times New Roman" w:hAnsi="Times New Roman"/>
          <w:sz w:val="22"/>
          <w:szCs w:val="22"/>
          <w:b w:val="1"/>
          <w:bCs w:val="1"/>
          <w:u w:val="single" w:color="auto"/>
          <w:color w:val="auto"/>
        </w:rPr>
        <w:t>SHINGTON, D.C. 20</w:t>
      </w:r>
      <w:r>
        <w:rPr>
          <w:rFonts w:ascii="Times New Roman" w:cs="Times New Roman" w:eastAsia="Times New Roman" w:hAnsi="Times New Roman"/>
          <w:sz w:val="22"/>
          <w:szCs w:val="22"/>
          <w:b w:val="1"/>
          <w:bCs w:val="1"/>
          <w:color w:val="auto"/>
        </w:rPr>
        <w:t>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36195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62865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Trex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840" w:type="dxa"/>
        <w:tblCellMar>
          <w:top w:w="0" w:type="dxa"/>
          <w:left w:w="0" w:type="dxa"/>
          <w:bottom w:w="0" w:type="dxa"/>
          <w:right w:w="0" w:type="dxa"/>
        </w:tblCellMar>
      </w:tblPr>
      <w:tr>
        <w:trPr>
          <w:trHeight w:val="172"/>
        </w:trPr>
        <w:tc>
          <w:tcPr>
            <w:tcW w:w="3060" w:type="dxa"/>
            <w:vAlign w:val="bottom"/>
          </w:tcPr>
          <w:p>
            <w:pPr>
              <w:jc w:val="center"/>
              <w:ind w:right="661"/>
              <w:spacing w:after="0" w:line="172"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Borders>
              <w:top w:val="single" w:sz="8" w:color="auto"/>
            </w:tcBorders>
          </w:tcPr>
          <w:p>
            <w:pPr>
              <w:jc w:val="right"/>
              <w:ind w:right="501"/>
              <w:spacing w:after="0" w:line="172" w:lineRule="exact"/>
              <w:rPr>
                <w:sz w:val="20"/>
                <w:szCs w:val="20"/>
                <w:color w:val="auto"/>
              </w:rPr>
            </w:pPr>
            <w:r>
              <w:rPr>
                <w:rFonts w:ascii="Times New Roman" w:cs="Times New Roman" w:eastAsia="Times New Roman" w:hAnsi="Times New Roman"/>
                <w:sz w:val="18"/>
                <w:szCs w:val="18"/>
                <w:b w:val="1"/>
                <w:bCs w:val="1"/>
                <w:color w:val="auto"/>
              </w:rPr>
              <w:t>001-14649</w:t>
            </w:r>
          </w:p>
        </w:tc>
        <w:tc>
          <w:tcPr>
            <w:tcW w:w="2420" w:type="dxa"/>
            <w:vAlign w:val="bottom"/>
          </w:tcPr>
          <w:p>
            <w:pPr>
              <w:jc w:val="right"/>
              <w:ind w:right="24"/>
              <w:spacing w:after="0" w:line="172" w:lineRule="exact"/>
              <w:rPr>
                <w:sz w:val="20"/>
                <w:szCs w:val="20"/>
                <w:color w:val="auto"/>
              </w:rPr>
            </w:pPr>
            <w:r>
              <w:rPr>
                <w:rFonts w:ascii="Times New Roman" w:cs="Times New Roman" w:eastAsia="Times New Roman" w:hAnsi="Times New Roman"/>
                <w:sz w:val="18"/>
                <w:szCs w:val="18"/>
                <w:b w:val="1"/>
                <w:bCs w:val="1"/>
                <w:color w:val="auto"/>
              </w:rPr>
              <w:t>54-1910453</w:t>
            </w:r>
          </w:p>
        </w:tc>
        <w:tc>
          <w:tcPr>
            <w:tcW w:w="0" w:type="dxa"/>
            <w:vAlign w:val="bottom"/>
          </w:tcPr>
          <w:p>
            <w:pPr>
              <w:spacing w:after="0"/>
              <w:rPr>
                <w:sz w:val="1"/>
                <w:szCs w:val="1"/>
                <w:color w:val="auto"/>
              </w:rPr>
            </w:pPr>
          </w:p>
        </w:tc>
      </w:tr>
      <w:tr>
        <w:trPr>
          <w:trHeight w:val="148"/>
        </w:trPr>
        <w:tc>
          <w:tcPr>
            <w:tcW w:w="3060" w:type="dxa"/>
            <w:vAlign w:val="bottom"/>
          </w:tcPr>
          <w:p>
            <w:pPr>
              <w:jc w:val="center"/>
              <w:ind w:right="6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420" w:type="dxa"/>
            <w:vAlign w:val="bottom"/>
          </w:tcPr>
          <w:p>
            <w:pPr>
              <w:jc w:val="center"/>
              <w:ind w:left="1284"/>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060" w:type="dxa"/>
            <w:vAlign w:val="bottom"/>
          </w:tcPr>
          <w:p>
            <w:pPr>
              <w:jc w:val="center"/>
              <w:ind w:right="6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940" w:type="dxa"/>
            <w:vAlign w:val="bottom"/>
          </w:tcPr>
          <w:p>
            <w:pPr>
              <w:spacing w:after="0"/>
              <w:rPr>
                <w:sz w:val="15"/>
                <w:szCs w:val="15"/>
                <w:color w:val="auto"/>
              </w:rPr>
            </w:pPr>
          </w:p>
        </w:tc>
        <w:tc>
          <w:tcPr>
            <w:tcW w:w="2420" w:type="dxa"/>
            <w:vAlign w:val="bottom"/>
          </w:tcPr>
          <w:p>
            <w:pPr>
              <w:jc w:val="center"/>
              <w:ind w:left="128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329"/>
        </w:trPr>
        <w:tc>
          <w:tcPr>
            <w:tcW w:w="306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2500 Trex Way</w:t>
            </w:r>
          </w:p>
        </w:tc>
        <w:tc>
          <w:tcPr>
            <w:tcW w:w="1940" w:type="dxa"/>
            <w:vAlign w:val="bottom"/>
          </w:tcPr>
          <w:p>
            <w:pPr>
              <w:spacing w:after="0"/>
              <w:rPr>
                <w:sz w:val="24"/>
                <w:szCs w:val="24"/>
                <w:color w:val="auto"/>
              </w:rPr>
            </w:pPr>
          </w:p>
        </w:tc>
        <w:tc>
          <w:tcPr>
            <w:tcW w:w="242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22601</w:t>
            </w:r>
          </w:p>
        </w:tc>
        <w:tc>
          <w:tcPr>
            <w:tcW w:w="0" w:type="dxa"/>
            <w:vAlign w:val="bottom"/>
          </w:tcPr>
          <w:p>
            <w:pPr>
              <w:spacing w:after="0"/>
              <w:rPr>
                <w:sz w:val="1"/>
                <w:szCs w:val="1"/>
                <w:color w:val="auto"/>
              </w:rPr>
            </w:pPr>
          </w:p>
        </w:tc>
      </w:tr>
      <w:tr>
        <w:trPr>
          <w:trHeight w:val="195"/>
        </w:trPr>
        <w:tc>
          <w:tcPr>
            <w:tcW w:w="3060" w:type="dxa"/>
            <w:vAlign w:val="bottom"/>
          </w:tcPr>
          <w:p>
            <w:pPr>
              <w:jc w:val="center"/>
              <w:ind w:right="661"/>
              <w:spacing w:after="0" w:line="195" w:lineRule="exact"/>
              <w:rPr>
                <w:sz w:val="20"/>
                <w:szCs w:val="20"/>
                <w:color w:val="auto"/>
              </w:rPr>
            </w:pPr>
            <w:r>
              <w:rPr>
                <w:rFonts w:ascii="Times New Roman" w:cs="Times New Roman" w:eastAsia="Times New Roman" w:hAnsi="Times New Roman"/>
                <w:sz w:val="18"/>
                <w:szCs w:val="18"/>
                <w:b w:val="1"/>
                <w:bCs w:val="1"/>
                <w:color w:val="auto"/>
                <w:w w:val="99"/>
              </w:rPr>
              <w:t>Winchester, Virginia</w:t>
            </w:r>
          </w:p>
        </w:tc>
        <w:tc>
          <w:tcPr>
            <w:tcW w:w="194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60" w:type="dxa"/>
            <w:vAlign w:val="bottom"/>
          </w:tcPr>
          <w:p>
            <w:pPr>
              <w:jc w:val="center"/>
              <w:ind w:right="6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940" w:type="dxa"/>
            <w:vAlign w:val="bottom"/>
          </w:tcPr>
          <w:p>
            <w:pPr>
              <w:spacing w:after="0"/>
              <w:rPr>
                <w:sz w:val="15"/>
                <w:szCs w:val="15"/>
                <w:color w:val="auto"/>
              </w:rPr>
            </w:pPr>
          </w:p>
        </w:tc>
        <w:tc>
          <w:tcPr>
            <w:tcW w:w="2420" w:type="dxa"/>
            <w:vAlign w:val="bottom"/>
          </w:tcPr>
          <w:p>
            <w:pPr>
              <w:jc w:val="center"/>
              <w:ind w:left="128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540 542-6300</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121285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8"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8"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19"/>
                <w:szCs w:val="19"/>
                <w:color w:val="auto"/>
              </w:rPr>
            </w:pPr>
          </w:p>
        </w:tc>
        <w:tc>
          <w:tcPr>
            <w:tcW w:w="4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TREX</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475615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997"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left="660" w:right="860" w:firstLine="648"/>
        <w:spacing w:after="0" w:line="282" w:lineRule="auto"/>
        <w:rPr>
          <w:sz w:val="20"/>
          <w:szCs w:val="20"/>
          <w:color w:val="auto"/>
        </w:rPr>
      </w:pPr>
      <w:r>
        <w:rPr>
          <w:rFonts w:ascii="Times New Roman" w:cs="Times New Roman" w:eastAsia="Times New Roman" w:hAnsi="Times New Roman"/>
          <w:sz w:val="18"/>
          <w:szCs w:val="18"/>
          <w:color w:val="auto"/>
        </w:rPr>
        <w:t>On May 7, 2026, Trex Company, Inc. issued a press release announcing financial results for the three months ended March 31, 2026. A copy of such press release is attached hereto as Exhibit 99.1 and incorporated herein by reference.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 Trex Company, Inc. herewith furnishes the following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7"/>
                <w:szCs w:val="17"/>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5"/>
        </w:trPr>
        <w:tc>
          <w:tcPr>
            <w:tcW w:w="66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9"/>
                <w:szCs w:val="19"/>
                <w:color w:val="auto"/>
              </w:rPr>
            </w:pPr>
          </w:p>
        </w:tc>
        <w:tc>
          <w:tcPr>
            <w:tcW w:w="7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r>
      <w:tr>
        <w:trPr>
          <w:trHeight w:val="156"/>
        </w:trPr>
        <w:tc>
          <w:tcPr>
            <w:tcW w:w="660" w:type="dxa"/>
            <w:vAlign w:val="bottom"/>
          </w:tcPr>
          <w:p>
            <w:pPr>
              <w:spacing w:after="0"/>
              <w:rPr>
                <w:sz w:val="13"/>
                <w:szCs w:val="13"/>
                <w:color w:val="auto"/>
              </w:rPr>
            </w:pPr>
          </w:p>
        </w:tc>
        <w:tc>
          <w:tcPr>
            <w:tcW w:w="96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3"/>
                <w:szCs w:val="13"/>
                <w:color w:val="auto"/>
              </w:rPr>
            </w:pPr>
          </w:p>
        </w:tc>
        <w:tc>
          <w:tcPr>
            <w:tcW w:w="86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Press release dated May 7, 2026, announcing financial results for the three months ended March 31, 2026.</w:t>
            </w:r>
          </w:p>
        </w:tc>
        <w:tc>
          <w:tcPr>
            <w:tcW w:w="660" w:type="dxa"/>
            <w:vAlign w:val="bottom"/>
          </w:tcPr>
          <w:p>
            <w:pPr>
              <w:spacing w:after="0"/>
              <w:rPr>
                <w:sz w:val="13"/>
                <w:szCs w:val="13"/>
                <w:color w:val="auto"/>
              </w:rPr>
            </w:pPr>
          </w:p>
        </w:tc>
      </w:tr>
      <w:tr>
        <w:trPr>
          <w:trHeight w:val="398"/>
        </w:trPr>
        <w:tc>
          <w:tcPr>
            <w:tcW w:w="1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4"/>
                <w:szCs w:val="24"/>
                <w:color w:val="auto"/>
              </w:rPr>
            </w:pPr>
          </w:p>
        </w:tc>
        <w:tc>
          <w:tcPr>
            <w:tcW w:w="76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680" w:type="dxa"/>
            <w:vAlign w:val="bottom"/>
            <w:gridSpan w:val="2"/>
          </w:tcPr>
          <w:p>
            <w:pPr>
              <w:spacing w:after="0"/>
              <w:rPr>
                <w:sz w:val="24"/>
                <w:szCs w:val="24"/>
                <w:color w:val="auto"/>
              </w:rPr>
            </w:pPr>
          </w:p>
        </w:tc>
      </w:tr>
      <w:tr>
        <w:trPr>
          <w:trHeight w:val="952"/>
        </w:trPr>
        <w:tc>
          <w:tcPr>
            <w:tcW w:w="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64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Trex Company, Inc.</w:t>
            </w:r>
          </w:p>
        </w:tc>
      </w:tr>
      <w:tr>
        <w:trPr>
          <w:trHeight w:val="364"/>
        </w:trPr>
        <w:tc>
          <w:tcPr>
            <w:tcW w:w="4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7, 2026</w:t>
            </w:r>
          </w:p>
        </w:tc>
        <w:tc>
          <w:tcPr>
            <w:tcW w:w="64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/s/ Prithvi S. Gandhi</w:t>
            </w:r>
          </w:p>
        </w:tc>
      </w:tr>
      <w:tr>
        <w:trPr>
          <w:trHeight w:val="147"/>
        </w:trPr>
        <w:tc>
          <w:tcPr>
            <w:tcW w:w="4560" w:type="dxa"/>
            <w:vAlign w:val="bottom"/>
          </w:tcPr>
          <w:p>
            <w:pPr>
              <w:spacing w:after="0"/>
              <w:rPr>
                <w:sz w:val="12"/>
                <w:szCs w:val="12"/>
                <w:color w:val="auto"/>
              </w:rPr>
            </w:pPr>
          </w:p>
        </w:tc>
        <w:tc>
          <w:tcPr>
            <w:tcW w:w="5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Prithvi S. Gandhi</w:t>
            </w:r>
          </w:p>
        </w:tc>
        <w:tc>
          <w:tcPr>
            <w:tcW w:w="660" w:type="dxa"/>
            <w:vAlign w:val="bottom"/>
          </w:tcPr>
          <w:p>
            <w:pPr>
              <w:spacing w:after="0"/>
              <w:rPr>
                <w:sz w:val="12"/>
                <w:szCs w:val="12"/>
                <w:color w:val="auto"/>
              </w:rPr>
            </w:pPr>
          </w:p>
        </w:tc>
      </w:tr>
      <w:tr>
        <w:trPr>
          <w:trHeight w:val="189"/>
        </w:trPr>
        <w:tc>
          <w:tcPr>
            <w:tcW w:w="4560" w:type="dxa"/>
            <w:vAlign w:val="bottom"/>
          </w:tcPr>
          <w:p>
            <w:pPr>
              <w:spacing w:after="0"/>
              <w:rPr>
                <w:sz w:val="16"/>
                <w:szCs w:val="16"/>
                <w:color w:val="auto"/>
              </w:rPr>
            </w:pPr>
          </w:p>
        </w:tc>
        <w:tc>
          <w:tcPr>
            <w:tcW w:w="6480" w:type="dxa"/>
            <w:vAlign w:val="bottom"/>
            <w:gridSpan w:val="2"/>
          </w:tcPr>
          <w:p>
            <w:pPr>
              <w:jc w:val="center"/>
              <w:ind w:right="720"/>
              <w:spacing w:after="0" w:line="189" w:lineRule="exact"/>
              <w:rPr>
                <w:sz w:val="20"/>
                <w:szCs w:val="20"/>
                <w:color w:val="auto"/>
              </w:rPr>
            </w:pPr>
            <w:r>
              <w:rPr>
                <w:rFonts w:ascii="Times New Roman" w:cs="Times New Roman" w:eastAsia="Times New Roman" w:hAnsi="Times New Roman"/>
                <w:sz w:val="18"/>
                <w:szCs w:val="18"/>
                <w:b w:val="1"/>
                <w:bCs w:val="1"/>
                <w:color w:val="auto"/>
              </w:rPr>
              <w:t>Senior Vice President and</w:t>
            </w:r>
          </w:p>
        </w:tc>
      </w:tr>
      <w:tr>
        <w:trPr>
          <w:trHeight w:val="238"/>
        </w:trPr>
        <w:tc>
          <w:tcPr>
            <w:tcW w:w="4560" w:type="dxa"/>
            <w:vAlign w:val="bottom"/>
          </w:tcPr>
          <w:p>
            <w:pPr>
              <w:spacing w:after="0"/>
              <w:rPr>
                <w:sz w:val="20"/>
                <w:szCs w:val="20"/>
                <w:color w:val="auto"/>
              </w:rPr>
            </w:pPr>
          </w:p>
        </w:tc>
        <w:tc>
          <w:tcPr>
            <w:tcW w:w="64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952"/>
        </w:trPr>
        <w:tc>
          <w:tcPr>
            <w:tcW w:w="456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p>
      <w:pPr>
        <w:ind w:left="77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11430</wp:posOffset>
            </wp:positionV>
            <wp:extent cx="89154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15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TREX COMPANY REPORTS SOLID FIRST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30480</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Launches Five Long-Term Strategic Priorities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Well Positioned Heading Into Peak Deck-Building Season with Recent Home Center</w:t>
      </w:r>
    </w:p>
    <w:p>
      <w:pPr>
        <w:spacing w:after="0" w:line="6"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Stocking Wins</w:t>
      </w:r>
    </w:p>
    <w:p>
      <w:pPr>
        <w:spacing w:after="0" w:line="74"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Executes and Expands Significant Share Repurchase Program</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Reaffirms Full Year 2026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212090</wp:posOffset>
            </wp:positionV>
            <wp:extent cx="5349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Quarter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1" w:lineRule="exact"/>
        <w:rPr>
          <w:sz w:val="20"/>
          <w:szCs w:val="20"/>
          <w:color w:val="auto"/>
        </w:rPr>
      </w:pPr>
    </w:p>
    <w:p>
      <w:pPr>
        <w:ind w:left="940" w:hanging="324"/>
        <w:spacing w:after="0"/>
        <w:tabs>
          <w:tab w:leader="none" w:pos="9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sales of $343 million</w:t>
      </w:r>
    </w:p>
    <w:p>
      <w:pPr>
        <w:spacing w:after="0" w:line="16" w:lineRule="exact"/>
        <w:rPr>
          <w:rFonts w:ascii="Times New Roman" w:cs="Times New Roman" w:eastAsia="Times New Roman" w:hAnsi="Times New Roman"/>
          <w:sz w:val="20"/>
          <w:szCs w:val="20"/>
          <w:color w:val="auto"/>
        </w:rPr>
      </w:pPr>
    </w:p>
    <w:p>
      <w:pPr>
        <w:ind w:left="940" w:hanging="324"/>
        <w:spacing w:after="0" w:line="238" w:lineRule="auto"/>
        <w:tabs>
          <w:tab w:leader="none" w:pos="9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Gross margin of 40.5%</w:t>
      </w:r>
    </w:p>
    <w:p>
      <w:pPr>
        <w:ind w:left="940" w:hanging="324"/>
        <w:spacing w:after="0" w:line="238" w:lineRule="auto"/>
        <w:tabs>
          <w:tab w:leader="none" w:pos="9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of $61 million and diluted earnings per share of $0.58</w:t>
      </w:r>
    </w:p>
    <w:p>
      <w:pPr>
        <w:ind w:left="940" w:hanging="324"/>
        <w:spacing w:after="0" w:line="238" w:lineRule="auto"/>
        <w:tabs>
          <w:tab w:leader="none" w:pos="9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income of $62 million and adjusted diluted earnings per share of $0.59</w:t>
      </w:r>
    </w:p>
    <w:p>
      <w:pPr>
        <w:ind w:left="940" w:hanging="324"/>
        <w:spacing w:after="0"/>
        <w:tabs>
          <w:tab w:leader="none" w:pos="9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$103 million</w:t>
      </w:r>
    </w:p>
    <w:p>
      <w:pPr>
        <w:spacing w:after="0" w:line="195" w:lineRule="exact"/>
        <w:rPr>
          <w:sz w:val="20"/>
          <w:szCs w:val="20"/>
          <w:color w:val="auto"/>
        </w:rPr>
      </w:pPr>
    </w:p>
    <w:p>
      <w:pPr>
        <w:ind w:left="300" w:right="639"/>
        <w:spacing w:after="0" w:line="237" w:lineRule="auto"/>
        <w:rPr>
          <w:sz w:val="20"/>
          <w:szCs w:val="20"/>
          <w:color w:val="auto"/>
        </w:rPr>
      </w:pPr>
      <w:r>
        <w:rPr>
          <w:rFonts w:ascii="Arial" w:cs="Arial" w:eastAsia="Arial" w:hAnsi="Arial"/>
          <w:sz w:val="20"/>
          <w:szCs w:val="20"/>
          <w:b w:val="1"/>
          <w:bCs w:val="1"/>
          <w:color w:val="auto"/>
        </w:rPr>
        <w:t xml:space="preserve">WINCHESTER, Va. –May 7, 2026– </w:t>
      </w:r>
      <w:r>
        <w:rPr>
          <w:rFonts w:ascii="Arial" w:cs="Arial" w:eastAsia="Arial" w:hAnsi="Arial"/>
          <w:sz w:val="20"/>
          <w:szCs w:val="20"/>
          <w:color w:val="auto"/>
        </w:rPr>
        <w:t>Trex Company, Inc. [NYSE:TREX], the world’s largest</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manufacturer of wood-alternative composite decking and railing, and a leader in high-performance, low-maintenance outdoor living products, today announced financial results for the first quarter of 2026.</w:t>
      </w:r>
    </w:p>
    <w:p>
      <w:pPr>
        <w:spacing w:after="0" w:line="187" w:lineRule="exact"/>
        <w:rPr>
          <w:sz w:val="20"/>
          <w:szCs w:val="20"/>
          <w:color w:val="auto"/>
        </w:rPr>
      </w:pPr>
    </w:p>
    <w:p>
      <w:pPr>
        <w:ind w:left="300" w:right="299"/>
        <w:spacing w:after="0" w:line="233" w:lineRule="auto"/>
        <w:rPr>
          <w:sz w:val="20"/>
          <w:szCs w:val="20"/>
          <w:color w:val="auto"/>
        </w:rPr>
      </w:pPr>
      <w:r>
        <w:rPr>
          <w:rFonts w:ascii="Arial" w:cs="Arial" w:eastAsia="Arial" w:hAnsi="Arial"/>
          <w:sz w:val="20"/>
          <w:szCs w:val="20"/>
          <w:color w:val="auto"/>
        </w:rPr>
        <w:t>Commenting on the quarter, Adam Zambanini, President and CEO, said, “We entered 2026 with strong momentum and a renewed sense of energy and excitement driving the entire organization forward. During the quarter, Trex delivered solid results driven primarily by positive performance in our premium decking portfolio and supported by recent shelf space wins in retail. The Company also delivered strong margins, reflecting product mix, operational efficiencies and cost discipline.”</w:t>
      </w:r>
    </w:p>
    <w:p>
      <w:pPr>
        <w:spacing w:after="0" w:line="172" w:lineRule="exact"/>
        <w:rPr>
          <w:sz w:val="20"/>
          <w:szCs w:val="20"/>
          <w:color w:val="auto"/>
        </w:rPr>
      </w:pPr>
    </w:p>
    <w:p>
      <w:pPr>
        <w:ind w:left="300" w:right="439"/>
        <w:spacing w:after="0" w:line="237" w:lineRule="auto"/>
        <w:rPr>
          <w:sz w:val="20"/>
          <w:szCs w:val="20"/>
          <w:color w:val="auto"/>
        </w:rPr>
      </w:pPr>
      <w:r>
        <w:rPr>
          <w:rFonts w:ascii="Arial" w:cs="Arial" w:eastAsia="Arial" w:hAnsi="Arial"/>
          <w:sz w:val="20"/>
          <w:szCs w:val="20"/>
          <w:color w:val="auto"/>
        </w:rPr>
        <w:t>“During the quarter, we began to take decisive actions aligned with our new long-term strategic priorities, positioning the Company to return to above-industry growth through unmatched innovation, enhanced execution, and renewed investment in our brand, marketing, and customer experience.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20"/>
          <w:szCs w:val="20"/>
          <w:b w:val="1"/>
          <w:bCs w:val="1"/>
          <w:color w:val="auto"/>
        </w:rPr>
        <w:t>Long-Term Strategic Priorities</w:t>
      </w:r>
    </w:p>
    <w:p>
      <w:pPr>
        <w:spacing w:after="0" w:line="204" w:lineRule="exact"/>
        <w:rPr>
          <w:sz w:val="20"/>
          <w:szCs w:val="20"/>
          <w:color w:val="auto"/>
        </w:rPr>
      </w:pPr>
    </w:p>
    <w:p>
      <w:pPr>
        <w:ind w:left="300" w:right="639"/>
        <w:spacing w:after="0" w:line="257" w:lineRule="auto"/>
        <w:rPr>
          <w:sz w:val="20"/>
          <w:szCs w:val="20"/>
          <w:color w:val="auto"/>
        </w:rPr>
      </w:pPr>
      <w:r>
        <w:rPr>
          <w:rFonts w:ascii="Arial" w:cs="Arial" w:eastAsia="Arial" w:hAnsi="Arial"/>
          <w:sz w:val="20"/>
          <w:szCs w:val="20"/>
          <w:color w:val="auto"/>
        </w:rPr>
        <w:t>Trex recently launched five priorities to define a focused, durable path to long-term profitable growth and increased shareholder value:</w:t>
      </w:r>
    </w:p>
    <w:p>
      <w:pPr>
        <w:spacing w:after="0" w:line="153" w:lineRule="exact"/>
        <w:rPr>
          <w:sz w:val="20"/>
          <w:szCs w:val="20"/>
          <w:color w:val="auto"/>
        </w:rPr>
      </w:pPr>
    </w:p>
    <w:p>
      <w:pPr>
        <w:ind w:left="940" w:right="519" w:hanging="324"/>
        <w:spacing w:after="0" w:line="242" w:lineRule="auto"/>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Create an Unbreakable Bond with End Users: </w:t>
      </w:r>
      <w:r>
        <w:rPr>
          <w:rFonts w:ascii="Arial" w:cs="Arial" w:eastAsia="Arial" w:hAnsi="Arial"/>
          <w:sz w:val="20"/>
          <w:szCs w:val="20"/>
          <w:color w:val="auto"/>
        </w:rPr>
        <w:t>Deepen brand preference and loyalty</w:t>
      </w:r>
      <w:r>
        <w:rPr>
          <w:rFonts w:ascii="Arial" w:cs="Arial" w:eastAsia="Arial" w:hAnsi="Arial"/>
          <w:sz w:val="20"/>
          <w:szCs w:val="20"/>
          <w:b w:val="1"/>
          <w:bCs w:val="1"/>
          <w:color w:val="auto"/>
        </w:rPr>
        <w:t xml:space="preserve"> </w:t>
      </w:r>
      <w:r>
        <w:rPr>
          <w:rFonts w:ascii="Arial" w:cs="Arial" w:eastAsia="Arial" w:hAnsi="Arial"/>
          <w:sz w:val="20"/>
          <w:szCs w:val="20"/>
          <w:color w:val="auto"/>
        </w:rPr>
        <w:t>across consumers, contractors, and pros through superior marketing, product experience, and service.</w:t>
      </w:r>
    </w:p>
    <w:p>
      <w:pPr>
        <w:spacing w:after="0" w:line="137" w:lineRule="exact"/>
        <w:rPr>
          <w:rFonts w:ascii="Arial" w:cs="Arial" w:eastAsia="Arial" w:hAnsi="Arial"/>
          <w:sz w:val="20"/>
          <w:szCs w:val="20"/>
          <w:color w:val="auto"/>
        </w:rPr>
      </w:pPr>
    </w:p>
    <w:p>
      <w:pPr>
        <w:ind w:left="940" w:right="319" w:hanging="324"/>
        <w:spacing w:after="0" w:line="247" w:lineRule="exact"/>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Launch High</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 xml:space="preserve">Performance Innovation: </w:t>
      </w:r>
      <w:r>
        <w:rPr>
          <w:rFonts w:ascii="Arial" w:cs="Arial" w:eastAsia="Arial" w:hAnsi="Arial"/>
          <w:sz w:val="20"/>
          <w:szCs w:val="20"/>
          <w:color w:val="auto"/>
        </w:rPr>
        <w:t>Continue to expand Trex’s leadership in</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science and performance through products that represent the next generation of outdoor living solutions.</w:t>
      </w:r>
    </w:p>
    <w:p>
      <w:pPr>
        <w:spacing w:after="0" w:line="169" w:lineRule="exact"/>
        <w:rPr>
          <w:rFonts w:ascii="Arial" w:cs="Arial" w:eastAsia="Arial" w:hAnsi="Arial"/>
          <w:sz w:val="20"/>
          <w:szCs w:val="20"/>
          <w:color w:val="auto"/>
        </w:rPr>
      </w:pPr>
    </w:p>
    <w:p>
      <w:pPr>
        <w:ind w:left="940" w:right="419" w:hanging="324"/>
        <w:spacing w:after="0" w:line="242" w:lineRule="auto"/>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Optimize Channels for Growth: </w:t>
      </w:r>
      <w:r>
        <w:rPr>
          <w:rFonts w:ascii="Arial" w:cs="Arial" w:eastAsia="Arial" w:hAnsi="Arial"/>
          <w:sz w:val="20"/>
          <w:szCs w:val="20"/>
          <w:color w:val="auto"/>
        </w:rPr>
        <w:t>Strengthen distribution effectiveness and ensure Trex</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are readily available across retail, dealer, and pro channels to drive above-market growth.</w:t>
      </w:r>
    </w:p>
    <w:p>
      <w:pPr>
        <w:spacing w:after="0" w:line="168" w:lineRule="exact"/>
        <w:rPr>
          <w:rFonts w:ascii="Arial" w:cs="Arial" w:eastAsia="Arial" w:hAnsi="Arial"/>
          <w:sz w:val="20"/>
          <w:szCs w:val="20"/>
          <w:color w:val="auto"/>
        </w:rPr>
      </w:pPr>
    </w:p>
    <w:p>
      <w:pPr>
        <w:ind w:left="940" w:right="559" w:hanging="324"/>
        <w:spacing w:after="0" w:line="259" w:lineRule="exact"/>
        <w:tabs>
          <w:tab w:leader="none" w:pos="94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Lower the Cost of Railing: </w:t>
      </w:r>
      <w:r>
        <w:rPr>
          <w:rFonts w:ascii="Arial" w:cs="Arial" w:eastAsia="Arial" w:hAnsi="Arial"/>
          <w:sz w:val="19"/>
          <w:szCs w:val="19"/>
          <w:color w:val="auto"/>
        </w:rPr>
        <w:t>Drive cost efficiencies and design advancements to</w:t>
      </w:r>
      <w:r>
        <w:rPr>
          <w:rFonts w:ascii="Arial" w:cs="Arial" w:eastAsia="Arial" w:hAnsi="Arial"/>
          <w:sz w:val="19"/>
          <w:szCs w:val="19"/>
          <w:b w:val="1"/>
          <w:bCs w:val="1"/>
          <w:color w:val="auto"/>
        </w:rPr>
        <w:t xml:space="preserve"> </w:t>
      </w:r>
      <w:r>
        <w:rPr>
          <w:rFonts w:ascii="Arial" w:cs="Arial" w:eastAsia="Arial" w:hAnsi="Arial"/>
          <w:sz w:val="19"/>
          <w:szCs w:val="19"/>
          <w:color w:val="auto"/>
        </w:rPr>
        <w:t>enhance margin structure and accelerate share gains in this fast</w:t>
      </w:r>
      <w:r>
        <w:rPr>
          <w:rFonts w:ascii="MS PGothic" w:cs="MS PGothic" w:eastAsia="MS PGothic" w:hAnsi="MS PGothic"/>
          <w:sz w:val="19"/>
          <w:szCs w:val="19"/>
          <w:color w:val="auto"/>
        </w:rPr>
        <w:t>‑</w:t>
      </w:r>
      <w:r>
        <w:rPr>
          <w:rFonts w:ascii="Arial" w:cs="Arial" w:eastAsia="Arial" w:hAnsi="Arial"/>
          <w:sz w:val="19"/>
          <w:szCs w:val="19"/>
          <w:color w:val="auto"/>
        </w:rPr>
        <w:t>growing product line.</w:t>
      </w:r>
    </w:p>
    <w:p>
      <w:pPr>
        <w:spacing w:after="0" w:line="144" w:lineRule="exact"/>
        <w:rPr>
          <w:rFonts w:ascii="Arial" w:cs="Arial" w:eastAsia="Arial" w:hAnsi="Arial"/>
          <w:sz w:val="19"/>
          <w:szCs w:val="19"/>
          <w:color w:val="auto"/>
        </w:rPr>
      </w:pPr>
    </w:p>
    <w:p>
      <w:pPr>
        <w:ind w:left="940" w:right="639" w:hanging="324"/>
        <w:spacing w:after="0" w:line="238" w:lineRule="exact"/>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Growth Enablement: </w:t>
      </w:r>
      <w:r>
        <w:rPr>
          <w:rFonts w:ascii="Arial" w:cs="Arial" w:eastAsia="Arial" w:hAnsi="Arial"/>
          <w:sz w:val="20"/>
          <w:szCs w:val="20"/>
          <w:color w:val="auto"/>
        </w:rPr>
        <w:t>Invest in the foundation – culture, technology, and talent – that</w:t>
      </w:r>
      <w:r>
        <w:rPr>
          <w:rFonts w:ascii="Arial" w:cs="Arial" w:eastAsia="Arial" w:hAnsi="Arial"/>
          <w:sz w:val="20"/>
          <w:szCs w:val="20"/>
          <w:b w:val="1"/>
          <w:bCs w:val="1"/>
          <w:color w:val="auto"/>
        </w:rPr>
        <w:t xml:space="preserve"> </w:t>
      </w:r>
      <w:r>
        <w:rPr>
          <w:rFonts w:ascii="Arial" w:cs="Arial" w:eastAsia="Arial" w:hAnsi="Arial"/>
          <w:sz w:val="20"/>
          <w:szCs w:val="20"/>
          <w:color w:val="auto"/>
        </w:rPr>
        <w:t>powers sustainable growth. We’re strengthening our organization by aligning around accountability, upskilling for digital and commercial excellence, and fostering an innovation</w:t>
      </w:r>
      <w:r>
        <w:rPr>
          <w:rFonts w:ascii="MS PGothic" w:cs="MS PGothic" w:eastAsia="MS PGothic" w:hAnsi="MS PGothic"/>
          <w:sz w:val="20"/>
          <w:szCs w:val="20"/>
          <w:color w:val="auto"/>
        </w:rPr>
        <w:t>‑</w:t>
      </w:r>
      <w:r>
        <w:rPr>
          <w:rFonts w:ascii="Arial" w:cs="Arial" w:eastAsia="Arial" w:hAnsi="Arial"/>
          <w:sz w:val="20"/>
          <w:szCs w:val="20"/>
          <w:color w:val="auto"/>
        </w:rPr>
        <w:t>driven culture that empowers teams to act with speed and discipline.</w:t>
      </w:r>
    </w:p>
    <w:p>
      <w:pPr>
        <w:spacing w:after="0" w:line="145" w:lineRule="exact"/>
        <w:rPr>
          <w:sz w:val="20"/>
          <w:szCs w:val="20"/>
          <w:color w:val="auto"/>
        </w:rPr>
      </w:pPr>
    </w:p>
    <w:p>
      <w:pPr>
        <w:ind w:left="300" w:right="579"/>
        <w:spacing w:after="0" w:line="248" w:lineRule="auto"/>
        <w:rPr>
          <w:sz w:val="20"/>
          <w:szCs w:val="20"/>
          <w:color w:val="auto"/>
        </w:rPr>
      </w:pPr>
      <w:r>
        <w:rPr>
          <w:rFonts w:ascii="Arial" w:cs="Arial" w:eastAsia="Arial" w:hAnsi="Arial"/>
          <w:sz w:val="19"/>
          <w:szCs w:val="19"/>
          <w:color w:val="auto"/>
        </w:rPr>
        <w:t>“As I noted last quarter, driving growth through innovation remains a key priority. Our recently launched PVC decking product is performing well, leading us to expand into geographies beyond our initial West Coast rollout. The fire-rated product category represents an attractive market opportunity, and we are committed to competing aggressively to capture share in this and other potential growth areas through unmatched product innovation.</w:t>
      </w:r>
    </w:p>
    <w:p>
      <w:pPr>
        <w:spacing w:after="0" w:line="167" w:lineRule="exact"/>
        <w:rPr>
          <w:sz w:val="20"/>
          <w:szCs w:val="20"/>
          <w:color w:val="auto"/>
        </w:rPr>
      </w:pPr>
    </w:p>
    <w:p>
      <w:pPr>
        <w:ind w:left="300" w:right="499"/>
        <w:spacing w:after="0" w:line="223" w:lineRule="exact"/>
        <w:rPr>
          <w:sz w:val="20"/>
          <w:szCs w:val="20"/>
          <w:color w:val="auto"/>
        </w:rPr>
      </w:pPr>
      <w:r>
        <w:rPr>
          <w:rFonts w:ascii="Arial" w:cs="Arial" w:eastAsia="Arial" w:hAnsi="Arial"/>
          <w:sz w:val="19"/>
          <w:szCs w:val="19"/>
          <w:color w:val="auto"/>
        </w:rPr>
        <w:t>“Our refined incentive and marketing programs have been very well received by our channel partners further strengthening these valued relationships. We also are excited about the next phase of our consumer- and pro-focused marketing campaign centered around our “Performance-Engineered for Your Life Outdoors™” brand platform, which launched in May 2025. As we move forward, the Trex brand and our value proposition will become increasingly visible and strategically positioned, with the impact of these programs further enhanced by our investment in digital tools. In the first quarter our digital metrics showed consistent growth across key leading indicators, with high</w:t>
      </w:r>
      <w:r>
        <w:rPr>
          <w:rFonts w:ascii="MS PGothic" w:cs="MS PGothic" w:eastAsia="MS PGothic" w:hAnsi="MS PGothic"/>
          <w:sz w:val="19"/>
          <w:szCs w:val="19"/>
          <w:color w:val="auto"/>
        </w:rPr>
        <w:t>‑</w:t>
      </w:r>
      <w:r>
        <w:rPr>
          <w:rFonts w:ascii="Arial" w:cs="Arial" w:eastAsia="Arial" w:hAnsi="Arial"/>
          <w:sz w:val="19"/>
          <w:szCs w:val="19"/>
          <w:color w:val="auto"/>
        </w:rPr>
        <w:t>intent behaviors meaningfully outpacing overall traffic, signaling more deliberate consumer engagement,” noted Mr. Zambanini.</w:t>
      </w:r>
    </w:p>
    <w:p>
      <w:pPr>
        <w:spacing w:after="0" w:line="363"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255"/>
                    </a:xfrm>
                    <a:prstGeom prst="rect">
                      <a:avLst/>
                    </a:prstGeom>
                    <a:noFill/>
                  </pic:spPr>
                </pic:pic>
              </a:graphicData>
            </a:graphic>
          </wp:anchor>
        </w:drawing>
        <w:t>Q1 2026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All financial results comparisons made are against the prior-year period unless otherwise noted:</w:t>
      </w:r>
    </w:p>
    <w:p>
      <w:pPr>
        <w:spacing w:after="0" w:line="214" w:lineRule="exact"/>
        <w:rPr>
          <w:sz w:val="20"/>
          <w:szCs w:val="20"/>
          <w:color w:val="auto"/>
        </w:rPr>
      </w:pPr>
    </w:p>
    <w:p>
      <w:pPr>
        <w:ind w:left="300" w:right="959"/>
        <w:spacing w:after="0" w:line="257" w:lineRule="auto"/>
        <w:rPr>
          <w:sz w:val="20"/>
          <w:szCs w:val="20"/>
          <w:color w:val="auto"/>
        </w:rPr>
      </w:pPr>
      <w:r>
        <w:rPr>
          <w:rFonts w:ascii="Arial" w:cs="Arial" w:eastAsia="Arial" w:hAnsi="Arial"/>
          <w:sz w:val="20"/>
          <w:szCs w:val="20"/>
          <w:color w:val="auto"/>
        </w:rPr>
        <w:t>Net sales were $343 million compared to $340 million, an increase of 1%, due to positive price/mix in the quarter.</w:t>
      </w:r>
    </w:p>
    <w:p>
      <w:pPr>
        <w:spacing w:after="0" w:line="155" w:lineRule="exact"/>
        <w:rPr>
          <w:sz w:val="20"/>
          <w:szCs w:val="20"/>
          <w:color w:val="auto"/>
        </w:rPr>
      </w:pPr>
    </w:p>
    <w:p>
      <w:pPr>
        <w:ind w:left="300" w:right="359"/>
        <w:spacing w:after="0" w:line="232" w:lineRule="auto"/>
        <w:rPr>
          <w:sz w:val="20"/>
          <w:szCs w:val="20"/>
          <w:color w:val="auto"/>
        </w:rPr>
      </w:pPr>
      <w:r>
        <w:rPr>
          <w:rFonts w:ascii="Arial" w:cs="Arial" w:eastAsia="Arial" w:hAnsi="Arial"/>
          <w:sz w:val="20"/>
          <w:szCs w:val="20"/>
          <w:color w:val="auto"/>
        </w:rPr>
        <w:t>Gross profit was $139 million with gross margin of 40.5%, compared to gross profit of $138 million and gross margin of 40.5%. There were no adjustments to this year’s gross profit while last year’s adjusted gross profit, which excluded railing conversion costs of approximately $4 million, was $ 142 million. A favorable mix of higher margin premium decking boards and margin improvement from continued operational excellence programs helped to offset a $4M increase in depreciation expenses related to our Little Rock production facility. The Company experienced no impact on gross margins related to increased oil prices during the quarter.</w:t>
      </w:r>
    </w:p>
    <w:p>
      <w:pPr>
        <w:spacing w:after="0" w:line="172" w:lineRule="exact"/>
        <w:rPr>
          <w:sz w:val="20"/>
          <w:szCs w:val="20"/>
          <w:color w:val="auto"/>
        </w:rPr>
      </w:pPr>
    </w:p>
    <w:p>
      <w:pPr>
        <w:ind w:left="300" w:right="319"/>
        <w:spacing w:after="0" w:line="246" w:lineRule="auto"/>
        <w:rPr>
          <w:sz w:val="20"/>
          <w:szCs w:val="20"/>
          <w:color w:val="auto"/>
        </w:rPr>
      </w:pPr>
      <w:r>
        <w:rPr>
          <w:rFonts w:ascii="Arial" w:cs="Arial" w:eastAsia="Arial" w:hAnsi="Arial"/>
          <w:sz w:val="19"/>
          <w:szCs w:val="19"/>
          <w:color w:val="auto"/>
        </w:rPr>
        <w:t>Selling, general, and administrative expenses were $ 56 million, representing 16.2% of net sales, compared to $56 million, or 16.5% of net sales in the prior year. Excluding digital transformation costs and Arkansas facility start-up expenses of $1.2 million and $1.5 million, SG&amp;A was $54 million and $55 million, respectively. The Company continued to increase its investment in branding and marketing programs to drive future growth. Other expenses, including personnel and healthcare related expenses, were lower than expected due to cost containment and timing.</w:t>
      </w:r>
    </w:p>
    <w:p>
      <w:pPr>
        <w:spacing w:after="0" w:line="168" w:lineRule="exact"/>
        <w:rPr>
          <w:sz w:val="20"/>
          <w:szCs w:val="20"/>
          <w:color w:val="auto"/>
        </w:rPr>
      </w:pPr>
    </w:p>
    <w:p>
      <w:pPr>
        <w:ind w:left="300" w:right="439"/>
        <w:spacing w:after="0" w:line="237" w:lineRule="auto"/>
        <w:rPr>
          <w:sz w:val="20"/>
          <w:szCs w:val="20"/>
          <w:color w:val="auto"/>
        </w:rPr>
      </w:pPr>
      <w:r>
        <w:rPr>
          <w:rFonts w:ascii="Arial" w:cs="Arial" w:eastAsia="Arial" w:hAnsi="Arial"/>
          <w:sz w:val="20"/>
          <w:szCs w:val="20"/>
          <w:color w:val="auto"/>
        </w:rPr>
        <w:t>Net income was $61 million, or $0.58 per diluted share, compared to net income of $60 million, or $0.56 per diluted share in the prior year. Adjusted net income was $62 million, with adjusted diluted EPS of $0.59, compared to adjusted net income of $64 million with adjusted diluted earnings per share of $0.60.</w:t>
      </w:r>
    </w:p>
    <w:p>
      <w:pPr>
        <w:spacing w:after="0" w:line="172" w:lineRule="exact"/>
        <w:rPr>
          <w:sz w:val="20"/>
          <w:szCs w:val="20"/>
          <w:color w:val="auto"/>
        </w:rPr>
      </w:pPr>
    </w:p>
    <w:p>
      <w:pPr>
        <w:ind w:left="300" w:right="459"/>
        <w:spacing w:after="0" w:line="257" w:lineRule="auto"/>
        <w:rPr>
          <w:sz w:val="20"/>
          <w:szCs w:val="20"/>
          <w:color w:val="auto"/>
        </w:rPr>
      </w:pPr>
      <w:r>
        <w:rPr>
          <w:rFonts w:ascii="Arial" w:cs="Arial" w:eastAsia="Arial" w:hAnsi="Arial"/>
          <w:sz w:val="20"/>
          <w:szCs w:val="20"/>
          <w:color w:val="auto"/>
        </w:rPr>
        <w:t>Adjusted EBITDA of $103 million compared favorably to an adjusted EBITDA of $101 million in the prior year.</w:t>
      </w:r>
    </w:p>
    <w:p>
      <w:pPr>
        <w:spacing w:after="0" w:line="155" w:lineRule="exact"/>
        <w:rPr>
          <w:sz w:val="20"/>
          <w:szCs w:val="20"/>
          <w:color w:val="auto"/>
        </w:rPr>
      </w:pPr>
    </w:p>
    <w:p>
      <w:pPr>
        <w:ind w:left="300" w:right="439"/>
        <w:spacing w:after="0" w:line="241" w:lineRule="auto"/>
        <w:rPr>
          <w:sz w:val="20"/>
          <w:szCs w:val="20"/>
          <w:color w:val="auto"/>
        </w:rPr>
      </w:pPr>
      <w:r>
        <w:rPr>
          <w:rFonts w:ascii="Arial" w:cs="Arial" w:eastAsia="Arial" w:hAnsi="Arial"/>
          <w:sz w:val="20"/>
          <w:szCs w:val="20"/>
          <w:color w:val="auto"/>
        </w:rPr>
        <w:t>Free cash flow was ($143) million, a 39% improvement from last year, reflecting effective management of working capital and lower capital expenditures as we finish the new Little Rock facility.</w:t>
      </w:r>
    </w:p>
    <w:p>
      <w:pPr>
        <w:spacing w:after="0" w:line="171" w:lineRule="exact"/>
        <w:rPr>
          <w:sz w:val="20"/>
          <w:szCs w:val="20"/>
          <w:color w:val="auto"/>
        </w:rPr>
      </w:pPr>
    </w:p>
    <w:p>
      <w:pPr>
        <w:ind w:left="300" w:right="439"/>
        <w:spacing w:after="0" w:line="234" w:lineRule="auto"/>
        <w:rPr>
          <w:sz w:val="20"/>
          <w:szCs w:val="20"/>
          <w:color w:val="auto"/>
        </w:rPr>
      </w:pPr>
      <w:r>
        <w:rPr>
          <w:rFonts w:ascii="Arial" w:cs="Arial" w:eastAsia="Arial" w:hAnsi="Arial"/>
          <w:sz w:val="20"/>
          <w:szCs w:val="20"/>
          <w:color w:val="auto"/>
        </w:rPr>
        <w:t>During the quarter, the Company authorized significant share repurchase programs including a $100 million ASR program and $50 million of additional discretionary repurchases as part of an existing share repurchase authorization. The Company intends to complete the $150 million repurchase program in the second quarter. Share repurchases remain a key aspect of the Company’s capital allocation strategy.</w:t>
      </w:r>
    </w:p>
    <w:p>
      <w:pPr>
        <w:spacing w:after="0" w:line="364"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9"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255"/>
                    </a:xfrm>
                    <a:prstGeom prst="rect">
                      <a:avLst/>
                    </a:prstGeom>
                    <a:noFill/>
                  </pic:spPr>
                </pic:pic>
              </a:graphicData>
            </a:graphic>
          </wp:anchor>
        </w:drawing>
        <w:t>New Developments &amp;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36" w:lineRule="exact"/>
        <w:rPr>
          <w:sz w:val="20"/>
          <w:szCs w:val="20"/>
          <w:color w:val="auto"/>
        </w:rPr>
      </w:pPr>
    </w:p>
    <w:p>
      <w:pPr>
        <w:ind w:left="940" w:right="979" w:hanging="324"/>
        <w:spacing w:after="0" w:line="229" w:lineRule="auto"/>
        <w:tabs>
          <w:tab w:leader="none" w:pos="9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Refuge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Decking, an ignition resistant PVC decking line, across select markets in the West, New England and Mid-Atlantic.</w:t>
      </w:r>
    </w:p>
    <w:p>
      <w:pPr>
        <w:spacing w:after="0" w:line="186" w:lineRule="exact"/>
        <w:rPr>
          <w:rFonts w:ascii="Times New Roman" w:cs="Times New Roman" w:eastAsia="Times New Roman" w:hAnsi="Times New Roman"/>
          <w:sz w:val="20"/>
          <w:szCs w:val="20"/>
          <w:color w:val="auto"/>
        </w:rPr>
      </w:pPr>
    </w:p>
    <w:p>
      <w:pPr>
        <w:ind w:left="940" w:right="439" w:hanging="324"/>
        <w:spacing w:after="0" w:line="235" w:lineRule="auto"/>
        <w:tabs>
          <w:tab w:leader="none" w:pos="9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Named Green Builder Media’s Sustainable Brand leader in the decking category for the 16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consecutive year. Trex® Refuge™ was also selected by Green Builder editors as one of the most sustainable products of the year for 2026.</w:t>
      </w:r>
    </w:p>
    <w:p>
      <w:pPr>
        <w:spacing w:after="0" w:line="201" w:lineRule="exact"/>
        <w:rPr>
          <w:rFonts w:ascii="Times New Roman" w:cs="Times New Roman" w:eastAsia="Times New Roman" w:hAnsi="Times New Roman"/>
          <w:sz w:val="20"/>
          <w:szCs w:val="20"/>
          <w:color w:val="auto"/>
        </w:rPr>
      </w:pPr>
    </w:p>
    <w:p>
      <w:pPr>
        <w:ind w:left="940" w:right="1439" w:hanging="324"/>
        <w:spacing w:after="0" w:line="256" w:lineRule="auto"/>
        <w:tabs>
          <w:tab w:leader="none" w:pos="9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Named One of America’s Most Trustworthy Companies. Trex was named to Newsweek’s list of the Most Trustworthy Companies in America 2026.</w:t>
      </w:r>
    </w:p>
    <w:p>
      <w:pPr>
        <w:spacing w:after="0" w:line="194" w:lineRule="exact"/>
        <w:rPr>
          <w:rFonts w:ascii="Times New Roman" w:cs="Times New Roman" w:eastAsia="Times New Roman" w:hAnsi="Times New Roman"/>
          <w:sz w:val="20"/>
          <w:szCs w:val="20"/>
          <w:color w:val="auto"/>
        </w:rPr>
      </w:pPr>
    </w:p>
    <w:p>
      <w:pPr>
        <w:ind w:left="940" w:right="419" w:hanging="324"/>
        <w:spacing w:after="0" w:line="229" w:lineRule="auto"/>
        <w:tabs>
          <w:tab w:leader="none" w:pos="9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Named America’s Most Trusted</w:t>
      </w:r>
      <w:r>
        <w:rPr>
          <w:rFonts w:ascii="Arial" w:cs="Arial" w:eastAsia="Arial" w:hAnsi="Arial"/>
          <w:sz w:val="26"/>
          <w:szCs w:val="26"/>
          <w:color w:val="auto"/>
          <w:vertAlign w:val="superscript"/>
        </w:rPr>
        <w:t>®</w:t>
      </w:r>
      <w:r>
        <w:rPr>
          <w:rFonts w:ascii="Arial" w:cs="Arial" w:eastAsia="Arial" w:hAnsi="Arial"/>
          <w:sz w:val="20"/>
          <w:szCs w:val="20"/>
          <w:color w:val="auto"/>
        </w:rPr>
        <w:t xml:space="preserve"> Outdoor Decking for sixth consecutive year, according to a nationwide study by Lifestory Research.</w:t>
      </w:r>
    </w:p>
    <w:p>
      <w:pPr>
        <w:spacing w:after="0" w:line="210" w:lineRule="exact"/>
        <w:rPr>
          <w:rFonts w:ascii="Times New Roman" w:cs="Times New Roman" w:eastAsia="Times New Roman" w:hAnsi="Times New Roman"/>
          <w:sz w:val="18"/>
          <w:szCs w:val="18"/>
          <w:color w:val="auto"/>
        </w:rPr>
      </w:pPr>
    </w:p>
    <w:p>
      <w:pPr>
        <w:ind w:left="940" w:right="519" w:hanging="324"/>
        <w:spacing w:after="0" w:line="258" w:lineRule="auto"/>
        <w:tabs>
          <w:tab w:leader="none" w:pos="9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9"/>
          <w:szCs w:val="19"/>
          <w:color w:val="auto"/>
        </w:rPr>
        <w:t>Trex Innovation Earned Top Industry and Global Design Honors. Trex Select</w:t>
      </w:r>
      <w:r>
        <w:rPr>
          <w:rFonts w:ascii="Arial" w:cs="Arial" w:eastAsia="Arial" w:hAnsi="Arial"/>
          <w:sz w:val="25"/>
          <w:szCs w:val="25"/>
          <w:color w:val="auto"/>
          <w:vertAlign w:val="superscript"/>
        </w:rPr>
        <w:t>®</w:t>
      </w:r>
      <w:r>
        <w:rPr>
          <w:rFonts w:ascii="Arial" w:cs="Arial" w:eastAsia="Arial" w:hAnsi="Arial"/>
          <w:sz w:val="19"/>
          <w:szCs w:val="19"/>
          <w:color w:val="auto"/>
        </w:rPr>
        <w:t xml:space="preserve"> Decking and Signature</w:t>
      </w:r>
      <w:r>
        <w:rPr>
          <w:rFonts w:ascii="Arial" w:cs="Arial" w:eastAsia="Arial" w:hAnsi="Arial"/>
          <w:sz w:val="25"/>
          <w:szCs w:val="25"/>
          <w:color w:val="auto"/>
          <w:vertAlign w:val="superscript"/>
        </w:rPr>
        <w:t>®</w:t>
      </w:r>
      <w:r>
        <w:rPr>
          <w:rFonts w:ascii="Arial" w:cs="Arial" w:eastAsia="Arial" w:hAnsi="Arial"/>
          <w:sz w:val="19"/>
          <w:szCs w:val="19"/>
          <w:color w:val="auto"/>
        </w:rPr>
        <w:t xml:space="preserve"> X-Series</w:t>
      </w:r>
      <w:r>
        <w:rPr>
          <w:rFonts w:ascii="Arial" w:cs="Arial" w:eastAsia="Arial" w:hAnsi="Arial"/>
          <w:sz w:val="25"/>
          <w:szCs w:val="25"/>
          <w:color w:val="auto"/>
          <w:vertAlign w:val="superscript"/>
        </w:rPr>
        <w:t>™</w:t>
      </w:r>
      <w:r>
        <w:rPr>
          <w:rFonts w:ascii="Arial" w:cs="Arial" w:eastAsia="Arial" w:hAnsi="Arial"/>
          <w:sz w:val="19"/>
          <w:szCs w:val="19"/>
          <w:color w:val="auto"/>
        </w:rPr>
        <w:t xml:space="preserve"> Railing recognized for performance and versatility.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93980</wp:posOffset>
            </wp:positionV>
            <wp:extent cx="5349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&amp;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1" w:lineRule="exact"/>
        <w:rPr>
          <w:sz w:val="20"/>
          <w:szCs w:val="20"/>
          <w:color w:val="auto"/>
        </w:rPr>
      </w:pPr>
    </w:p>
    <w:p>
      <w:pPr>
        <w:ind w:left="300" w:right="439"/>
        <w:spacing w:after="0" w:line="233" w:lineRule="auto"/>
        <w:rPr>
          <w:sz w:val="20"/>
          <w:szCs w:val="20"/>
          <w:color w:val="auto"/>
        </w:rPr>
      </w:pPr>
      <w:r>
        <w:rPr>
          <w:rFonts w:ascii="Arial" w:cs="Arial" w:eastAsia="Arial" w:hAnsi="Arial"/>
          <w:sz w:val="20"/>
          <w:szCs w:val="20"/>
          <w:color w:val="auto"/>
        </w:rPr>
        <w:t>“We continue to anticipate the overall R&amp;R market to be down to flat this year and are closely monitoring any impact on consumer confidence from the ongoing conflict in the Middle East. First quarter financial results were consistent with the cadence we anticipated for the year, with the typical seasonality of the business reflected in both revenue and margins. Additionally, the first quarter reflects continued execution on our commitment to returning capital to shareholders,” said Prith Gandhi, Senior Vice President and Chief Financial Officer.</w:t>
      </w:r>
    </w:p>
    <w:p>
      <w:pPr>
        <w:spacing w:after="0" w:line="172" w:lineRule="exact"/>
        <w:rPr>
          <w:sz w:val="20"/>
          <w:szCs w:val="20"/>
          <w:color w:val="auto"/>
        </w:rPr>
      </w:pPr>
    </w:p>
    <w:p>
      <w:pPr>
        <w:ind w:left="300" w:right="439"/>
        <w:spacing w:after="0" w:line="237" w:lineRule="auto"/>
        <w:rPr>
          <w:sz w:val="20"/>
          <w:szCs w:val="20"/>
          <w:color w:val="auto"/>
        </w:rPr>
      </w:pPr>
      <w:r>
        <w:rPr>
          <w:rFonts w:ascii="Arial" w:cs="Arial" w:eastAsia="Arial" w:hAnsi="Arial"/>
          <w:sz w:val="20"/>
          <w:szCs w:val="20"/>
          <w:color w:val="auto"/>
        </w:rPr>
        <w:t>Based on current visibility, the Company is reaffirming its full year 2026 guidance, shown in the table below, with revenue ranging from $1.185 billion to $1.23 billion and adjusted EBITDA ranging from $315 million to $340 million. The Company also provided second quarter revenue guidance in the range of $388 to $403 million.</w:t>
      </w:r>
    </w:p>
    <w:p>
      <w:pPr>
        <w:spacing w:after="0" w:line="172" w:lineRule="exact"/>
        <w:rPr>
          <w:sz w:val="20"/>
          <w:szCs w:val="20"/>
          <w:color w:val="auto"/>
        </w:rPr>
      </w:pPr>
    </w:p>
    <w:p>
      <w:pPr>
        <w:ind w:left="300" w:right="319"/>
        <w:spacing w:after="0" w:line="233" w:lineRule="auto"/>
        <w:rPr>
          <w:sz w:val="20"/>
          <w:szCs w:val="20"/>
          <w:color w:val="auto"/>
        </w:rPr>
      </w:pPr>
      <w:r>
        <w:rPr>
          <w:rFonts w:ascii="Arial" w:cs="Arial" w:eastAsia="Arial" w:hAnsi="Arial"/>
          <w:sz w:val="20"/>
          <w:szCs w:val="20"/>
          <w:color w:val="auto"/>
        </w:rPr>
        <w:t>The Company expects robust free cash flow generation this year, supported by a meaningful reduction in capital expenditures relative to 2025, as the peak investment phase of the Arkansas campus build-out transitions to an operational phase. Capital expenditure guidance for 2026 is $100 million to $120 million, down from $224 million in 2025. As construction winds down, The Company expects another meaningful increase in free cash flow in 2027 and beyond as capital expenditures return to maintenance levels of roughly 5 to 6% of revenue.</w:t>
      </w:r>
    </w:p>
    <w:p>
      <w:pPr>
        <w:spacing w:after="0" w:line="172" w:lineRule="exact"/>
        <w:rPr>
          <w:sz w:val="20"/>
          <w:szCs w:val="20"/>
          <w:color w:val="auto"/>
        </w:rPr>
      </w:pPr>
    </w:p>
    <w:p>
      <w:pPr>
        <w:ind w:left="300" w:right="359"/>
        <w:spacing w:after="0" w:line="284" w:lineRule="auto"/>
        <w:rPr>
          <w:sz w:val="20"/>
          <w:szCs w:val="20"/>
          <w:color w:val="auto"/>
        </w:rPr>
      </w:pPr>
      <w:r>
        <w:rPr>
          <w:rFonts w:ascii="Arial" w:cs="Arial" w:eastAsia="Arial" w:hAnsi="Arial"/>
          <w:sz w:val="19"/>
          <w:szCs w:val="19"/>
          <w:color w:val="auto"/>
        </w:rPr>
        <w:t>In addition to the execution of its $150 million share repurchase program, the Board of Directors authorized a 10 million share increase to the Company’s existing share repurchase program,</w:t>
      </w:r>
    </w:p>
    <w:p>
      <w:pPr>
        <w:spacing w:after="0" w:line="117"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617855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9" w:right="1440" w:bottom="1440" w:gutter="0" w:footer="0" w:header="0"/>
        </w:sectPr>
      </w:pPr>
    </w:p>
    <w:bookmarkStart w:id="7" w:name="page8"/>
    <w:bookmarkEnd w:id="7"/>
    <w:p>
      <w:pPr>
        <w:ind w:left="300" w:right="879"/>
        <w:spacing w:after="0" w:line="257" w:lineRule="auto"/>
        <w:rPr>
          <w:sz w:val="20"/>
          <w:szCs w:val="20"/>
          <w:color w:val="auto"/>
        </w:rPr>
      </w:pPr>
      <w:r>
        <w:rPr>
          <w:rFonts w:ascii="Arial" w:cs="Arial" w:eastAsia="Arial" w:hAnsi="Arial"/>
          <w:sz w:val="20"/>
          <w:szCs w:val="20"/>
          <w:color w:val="auto"/>
        </w:rPr>
        <w:t>bringing the total potential shares available for repurchase to approximately 13% of Trex’s outstanding shares at the end of the quarter.</w:t>
      </w:r>
    </w:p>
    <w:p>
      <w:pPr>
        <w:spacing w:after="0" w:line="153" w:lineRule="exact"/>
        <w:rPr>
          <w:sz w:val="20"/>
          <w:szCs w:val="20"/>
          <w:color w:val="auto"/>
        </w:rPr>
      </w:pPr>
    </w:p>
    <w:tbl>
      <w:tblPr>
        <w:tblLayout w:type="fixed"/>
        <w:tblInd w:w="2410" w:type="dxa"/>
        <w:tblCellMar>
          <w:top w:w="0" w:type="dxa"/>
          <w:left w:w="0" w:type="dxa"/>
          <w:bottom w:w="0" w:type="dxa"/>
          <w:right w:w="0" w:type="dxa"/>
        </w:tblCellMar>
      </w:tblPr>
      <w:tr>
        <w:trPr>
          <w:trHeight w:val="193"/>
        </w:trPr>
        <w:tc>
          <w:tcPr>
            <w:tcW w:w="440" w:type="dxa"/>
            <w:vAlign w:val="bottom"/>
            <w:tcBorders>
              <w:top w:val="single" w:sz="8" w:color="auto"/>
              <w:lef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11"/>
          </w:tcPr>
          <w:p>
            <w:pPr>
              <w:jc w:val="center"/>
              <w:ind w:right="200"/>
              <w:spacing w:after="0" w:line="193" w:lineRule="exact"/>
              <w:rPr>
                <w:sz w:val="20"/>
                <w:szCs w:val="20"/>
                <w:color w:val="auto"/>
              </w:rPr>
            </w:pPr>
            <w:r>
              <w:rPr>
                <w:rFonts w:ascii="Arial" w:cs="Arial" w:eastAsia="Arial" w:hAnsi="Arial"/>
                <w:sz w:val="20"/>
                <w:szCs w:val="20"/>
                <w:b w:val="1"/>
                <w:bCs w:val="1"/>
                <w:color w:val="auto"/>
                <w:w w:val="98"/>
              </w:rPr>
              <w:t>Full Year 2026 Guidance</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right w:val="single" w:sz="8" w:color="auto"/>
            </w:tcBorders>
            <w:gridSpan w:val="3"/>
            <w:vMerge w:val="restart"/>
          </w:tcPr>
          <w:p>
            <w:pPr>
              <w:jc w:val="center"/>
              <w:ind w:right="180"/>
              <w:spacing w:after="0"/>
              <w:rPr>
                <w:sz w:val="20"/>
                <w:szCs w:val="20"/>
                <w:color w:val="auto"/>
              </w:rPr>
            </w:pPr>
            <w:r>
              <w:rPr>
                <w:rFonts w:ascii="Arial" w:cs="Arial" w:eastAsia="Arial" w:hAnsi="Arial"/>
                <w:sz w:val="20"/>
                <w:szCs w:val="20"/>
                <w:b w:val="1"/>
                <w:bCs w:val="1"/>
                <w:color w:val="auto"/>
                <w:w w:val="98"/>
              </w:rPr>
              <w:t>High</w:t>
            </w:r>
          </w:p>
        </w:tc>
        <w:tc>
          <w:tcPr>
            <w:tcW w:w="0" w:type="dxa"/>
            <w:vAlign w:val="bottom"/>
          </w:tcPr>
          <w:p>
            <w:pPr>
              <w:spacing w:after="0"/>
              <w:rPr>
                <w:sz w:val="1"/>
                <w:szCs w:val="1"/>
                <w:color w:val="auto"/>
              </w:rPr>
            </w:pPr>
          </w:p>
        </w:tc>
      </w:tr>
      <w:tr>
        <w:trPr>
          <w:trHeight w:val="183"/>
        </w:trPr>
        <w:tc>
          <w:tcPr>
            <w:tcW w:w="96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Net sales</w:t>
            </w:r>
          </w:p>
        </w:tc>
        <w:tc>
          <w:tcPr>
            <w:tcW w:w="800" w:type="dxa"/>
            <w:vAlign w:val="bottom"/>
            <w:tcBorders>
              <w:top w:val="single" w:sz="8" w:color="auto"/>
            </w:tcBorders>
            <w:gridSpan w:val="2"/>
            <w:vMerge w:val="restart"/>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5"/>
          </w:tcPr>
          <w:p>
            <w:pPr>
              <w:ind w:left="240"/>
              <w:spacing w:after="0" w:line="183" w:lineRule="exact"/>
              <w:rPr>
                <w:sz w:val="20"/>
                <w:szCs w:val="20"/>
                <w:color w:val="auto"/>
              </w:rPr>
            </w:pPr>
            <w:r>
              <w:rPr>
                <w:rFonts w:ascii="Arial" w:cs="Arial" w:eastAsia="Arial" w:hAnsi="Arial"/>
                <w:sz w:val="20"/>
                <w:szCs w:val="20"/>
                <w:b w:val="1"/>
                <w:bCs w:val="1"/>
                <w:color w:val="auto"/>
              </w:rPr>
              <w:t>Low</w:t>
            </w:r>
          </w:p>
        </w:tc>
        <w:tc>
          <w:tcPr>
            <w:tcW w:w="2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top w:val="single" w:sz="8" w:color="auto"/>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Borders>
              <w:left w:val="single" w:sz="8" w:color="auto"/>
            </w:tcBorders>
            <w:gridSpan w:val="2"/>
            <w:vMerge w:val="continue"/>
          </w:tcPr>
          <w:p>
            <w:pPr>
              <w:spacing w:after="0"/>
              <w:rPr>
                <w:sz w:val="15"/>
                <w:szCs w:val="15"/>
                <w:color w:val="auto"/>
              </w:rPr>
            </w:pPr>
          </w:p>
        </w:tc>
        <w:tc>
          <w:tcPr>
            <w:tcW w:w="800" w:type="dxa"/>
            <w:vAlign w:val="bottom"/>
            <w:tcBorders>
              <w:top w:val="single" w:sz="8" w:color="auto"/>
            </w:tcBorders>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40" w:type="dxa"/>
            <w:vAlign w:val="bottom"/>
            <w:tcBorders>
              <w:top w:val="single" w:sz="8" w:color="auto"/>
            </w:tcBorders>
            <w:gridSpan w:val="2"/>
          </w:tcPr>
          <w:p>
            <w:pPr>
              <w:jc w:val="center"/>
              <w:spacing w:after="0" w:line="174" w:lineRule="exact"/>
              <w:rPr>
                <w:sz w:val="20"/>
                <w:szCs w:val="20"/>
                <w:color w:val="auto"/>
              </w:rPr>
            </w:pPr>
            <w:r>
              <w:rPr>
                <w:rFonts w:ascii="Arial" w:cs="Arial" w:eastAsia="Arial" w:hAnsi="Arial"/>
                <w:sz w:val="20"/>
                <w:szCs w:val="20"/>
                <w:color w:val="auto"/>
                <w:w w:val="83"/>
              </w:rPr>
              <w:t>1.230</w:t>
            </w: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4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20"/>
                <w:szCs w:val="20"/>
                <w:color w:val="auto"/>
                <w:w w:val="99"/>
              </w:rPr>
              <w:t>$1.185B</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20"/>
                <w:szCs w:val="20"/>
                <w:color w:val="auto"/>
                <w:w w:val="89"/>
              </w:rPr>
              <w:t>B</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gridSpan w:val="4"/>
            <w:shd w:val="clear" w:color="auto" w:fill="CFF0FC"/>
          </w:tcPr>
          <w:p>
            <w:pPr>
              <w:ind w:left="20"/>
              <w:spacing w:after="0" w:line="203" w:lineRule="exact"/>
              <w:rPr>
                <w:sz w:val="20"/>
                <w:szCs w:val="20"/>
                <w:color w:val="auto"/>
              </w:rPr>
            </w:pPr>
            <w:r>
              <w:rPr>
                <w:rFonts w:ascii="Arial" w:cs="Arial" w:eastAsia="Arial" w:hAnsi="Arial"/>
                <w:sz w:val="20"/>
                <w:szCs w:val="20"/>
                <w:color w:val="auto"/>
              </w:rPr>
              <w:t>Adjusted EBITDA</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6"/>
            <w:shd w:val="clear" w:color="auto" w:fill="CFF0FC"/>
          </w:tcPr>
          <w:p>
            <w:pPr>
              <w:jc w:val="center"/>
              <w:ind w:right="20"/>
              <w:spacing w:after="0" w:line="203" w:lineRule="exact"/>
              <w:rPr>
                <w:sz w:val="20"/>
                <w:szCs w:val="20"/>
                <w:color w:val="auto"/>
              </w:rPr>
            </w:pPr>
            <w:r>
              <w:rPr>
                <w:rFonts w:ascii="Arial" w:cs="Arial" w:eastAsia="Arial" w:hAnsi="Arial"/>
                <w:sz w:val="20"/>
                <w:szCs w:val="20"/>
                <w:color w:val="auto"/>
              </w:rPr>
              <w:t>$315M</w:t>
            </w:r>
          </w:p>
        </w:tc>
        <w:tc>
          <w:tcPr>
            <w:tcW w:w="780" w:type="dxa"/>
            <w:vAlign w:val="bottom"/>
            <w:tcBorders>
              <w:right w:val="single" w:sz="8" w:color="auto"/>
            </w:tcBorders>
            <w:gridSpan w:val="5"/>
            <w:shd w:val="clear" w:color="auto" w:fill="CFF0FC"/>
          </w:tcPr>
          <w:p>
            <w:pPr>
              <w:jc w:val="center"/>
              <w:ind w:right="20"/>
              <w:spacing w:after="0" w:line="203" w:lineRule="exact"/>
              <w:rPr>
                <w:sz w:val="20"/>
                <w:szCs w:val="20"/>
                <w:color w:val="auto"/>
              </w:rPr>
            </w:pPr>
            <w:r>
              <w:rPr>
                <w:rFonts w:ascii="Arial" w:cs="Arial" w:eastAsia="Arial" w:hAnsi="Arial"/>
                <w:sz w:val="20"/>
                <w:szCs w:val="20"/>
                <w:color w:val="auto"/>
                <w:w w:val="98"/>
              </w:rPr>
              <w:t>$340M</w:t>
            </w:r>
          </w:p>
        </w:tc>
        <w:tc>
          <w:tcPr>
            <w:tcW w:w="0" w:type="dxa"/>
            <w:vAlign w:val="bottom"/>
          </w:tcPr>
          <w:p>
            <w:pPr>
              <w:spacing w:after="0"/>
              <w:rPr>
                <w:sz w:val="1"/>
                <w:szCs w:val="1"/>
                <w:color w:val="auto"/>
              </w:rPr>
            </w:pPr>
          </w:p>
        </w:tc>
      </w:tr>
      <w:tr>
        <w:trPr>
          <w:trHeight w:val="167"/>
        </w:trPr>
        <w:tc>
          <w:tcPr>
            <w:tcW w:w="1760" w:type="dxa"/>
            <w:vAlign w:val="bottom"/>
            <w:tcBorders>
              <w:left w:val="single" w:sz="8" w:color="auto"/>
            </w:tcBorders>
            <w:gridSpan w:val="4"/>
          </w:tcPr>
          <w:p>
            <w:pPr>
              <w:ind w:left="20"/>
              <w:spacing w:after="0" w:line="167" w:lineRule="exact"/>
              <w:rPr>
                <w:sz w:val="20"/>
                <w:szCs w:val="20"/>
                <w:color w:val="auto"/>
              </w:rPr>
            </w:pPr>
            <w:r>
              <w:rPr>
                <w:rFonts w:ascii="Arial" w:cs="Arial" w:eastAsia="Arial" w:hAnsi="Arial"/>
                <w:sz w:val="19"/>
                <w:szCs w:val="19"/>
                <w:color w:val="auto"/>
              </w:rPr>
              <w:t>Depreciation and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1760" w:type="dxa"/>
            <w:vAlign w:val="bottom"/>
            <w:tcBorders>
              <w:left w:val="single" w:sz="8" w:color="auto"/>
            </w:tcBorders>
            <w:gridSpan w:val="4"/>
          </w:tcPr>
          <w:p>
            <w:pPr>
              <w:ind w:left="20"/>
              <w:spacing w:after="0"/>
              <w:rPr>
                <w:sz w:val="20"/>
                <w:szCs w:val="20"/>
                <w:color w:val="auto"/>
              </w:rPr>
            </w:pPr>
            <w:r>
              <w:rPr>
                <w:rFonts w:ascii="Arial" w:cs="Arial" w:eastAsia="Arial" w:hAnsi="Arial"/>
                <w:sz w:val="20"/>
                <w:szCs w:val="20"/>
                <w:color w:val="auto"/>
              </w:rPr>
              <w:t>amortization</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Borders>
              <w:right w:val="single" w:sz="8" w:color="auto"/>
            </w:tcBorders>
            <w:gridSpan w:val="9"/>
          </w:tcPr>
          <w:p>
            <w:pPr>
              <w:ind w:left="100"/>
              <w:spacing w:after="0"/>
              <w:rPr>
                <w:sz w:val="20"/>
                <w:szCs w:val="20"/>
                <w:color w:val="auto"/>
              </w:rPr>
            </w:pPr>
            <w:r>
              <w:rPr>
                <w:rFonts w:ascii="Arial" w:cs="Arial" w:eastAsia="Arial" w:hAnsi="Arial"/>
                <w:sz w:val="20"/>
                <w:szCs w:val="20"/>
                <w:color w:val="auto"/>
              </w:rPr>
              <w:t>~$85M</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gridSpan w:val="4"/>
            <w:shd w:val="clear" w:color="auto" w:fill="CFF0FC"/>
          </w:tcPr>
          <w:p>
            <w:pPr>
              <w:ind w:left="20"/>
              <w:spacing w:after="0" w:line="203" w:lineRule="exact"/>
              <w:rPr>
                <w:sz w:val="20"/>
                <w:szCs w:val="20"/>
                <w:color w:val="auto"/>
              </w:rPr>
            </w:pPr>
            <w:r>
              <w:rPr>
                <w:rFonts w:ascii="Arial" w:cs="Arial" w:eastAsia="Arial" w:hAnsi="Arial"/>
                <w:sz w:val="20"/>
                <w:szCs w:val="20"/>
                <w:color w:val="auto"/>
              </w:rPr>
              <w:t>SG&amp;A</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tcBorders>
              <w:right w:val="single" w:sz="8" w:color="auto"/>
            </w:tcBorders>
            <w:gridSpan w:val="11"/>
            <w:shd w:val="clear" w:color="auto" w:fill="CFF0FC"/>
          </w:tcPr>
          <w:p>
            <w:pPr>
              <w:ind w:left="20"/>
              <w:spacing w:after="0" w:line="203" w:lineRule="exact"/>
              <w:rPr>
                <w:sz w:val="20"/>
                <w:szCs w:val="20"/>
                <w:color w:val="auto"/>
              </w:rPr>
            </w:pPr>
            <w:r>
              <w:rPr>
                <w:rFonts w:ascii="Arial" w:cs="Arial" w:eastAsia="Arial" w:hAnsi="Arial"/>
                <w:sz w:val="20"/>
                <w:szCs w:val="20"/>
                <w:color w:val="auto"/>
              </w:rPr>
              <w:t>~18% of net sales</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gridSpan w:val="4"/>
          </w:tcPr>
          <w:p>
            <w:pPr>
              <w:ind w:left="20"/>
              <w:spacing w:after="0" w:line="203" w:lineRule="exact"/>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5"/>
          </w:tcPr>
          <w:p>
            <w:pPr>
              <w:jc w:val="center"/>
              <w:ind w:right="260"/>
              <w:spacing w:after="0" w:line="203" w:lineRule="exact"/>
              <w:rPr>
                <w:sz w:val="20"/>
                <w:szCs w:val="20"/>
                <w:color w:val="auto"/>
              </w:rPr>
            </w:pPr>
            <w:r>
              <w:rPr>
                <w:rFonts w:ascii="Arial" w:cs="Arial" w:eastAsia="Arial" w:hAnsi="Arial"/>
                <w:sz w:val="20"/>
                <w:szCs w:val="20"/>
                <w:color w:val="auto"/>
                <w:w w:val="97"/>
              </w:rPr>
              <w:t>$8M</w:t>
            </w:r>
          </w:p>
        </w:tc>
        <w:tc>
          <w:tcPr>
            <w:tcW w:w="80" w:type="dxa"/>
            <w:vAlign w:val="bottom"/>
          </w:tcPr>
          <w:p>
            <w:pPr>
              <w:spacing w:after="0"/>
              <w:rPr>
                <w:sz w:val="17"/>
                <w:szCs w:val="17"/>
                <w:color w:val="auto"/>
              </w:rPr>
            </w:pPr>
          </w:p>
        </w:tc>
        <w:tc>
          <w:tcPr>
            <w:tcW w:w="700" w:type="dxa"/>
            <w:vAlign w:val="bottom"/>
            <w:tcBorders>
              <w:right w:val="single" w:sz="8" w:color="auto"/>
            </w:tcBorders>
            <w:gridSpan w:val="4"/>
          </w:tcPr>
          <w:p>
            <w:pPr>
              <w:jc w:val="center"/>
              <w:ind w:right="100"/>
              <w:spacing w:after="0" w:line="203" w:lineRule="exact"/>
              <w:rPr>
                <w:sz w:val="20"/>
                <w:szCs w:val="20"/>
                <w:color w:val="auto"/>
              </w:rPr>
            </w:pPr>
            <w:r>
              <w:rPr>
                <w:rFonts w:ascii="Arial" w:cs="Arial" w:eastAsia="Arial" w:hAnsi="Arial"/>
                <w:sz w:val="20"/>
                <w:szCs w:val="20"/>
                <w:color w:val="auto"/>
                <w:w w:val="95"/>
              </w:rPr>
              <w:t>$10M</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tcBorders>
            <w:gridSpan w:val="4"/>
            <w:shd w:val="clear" w:color="auto" w:fill="CFF0FC"/>
          </w:tcPr>
          <w:p>
            <w:pPr>
              <w:ind w:left="20"/>
              <w:spacing w:after="0" w:line="203" w:lineRule="exact"/>
              <w:rPr>
                <w:sz w:val="20"/>
                <w:szCs w:val="20"/>
                <w:color w:val="auto"/>
              </w:rPr>
            </w:pPr>
            <w:r>
              <w:rPr>
                <w:rFonts w:ascii="Arial" w:cs="Arial" w:eastAsia="Arial" w:hAnsi="Arial"/>
                <w:sz w:val="20"/>
                <w:szCs w:val="20"/>
                <w:color w:val="auto"/>
              </w:rPr>
              <w:t>Effective tax rate</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6"/>
            <w:shd w:val="clear" w:color="auto" w:fill="CFF0FC"/>
          </w:tcPr>
          <w:p>
            <w:pPr>
              <w:jc w:val="center"/>
              <w:ind w:right="40"/>
              <w:spacing w:after="0" w:line="203" w:lineRule="exact"/>
              <w:rPr>
                <w:sz w:val="20"/>
                <w:szCs w:val="20"/>
                <w:color w:val="auto"/>
              </w:rPr>
            </w:pPr>
            <w:r>
              <w:rPr>
                <w:rFonts w:ascii="Arial" w:cs="Arial" w:eastAsia="Arial" w:hAnsi="Arial"/>
                <w:sz w:val="20"/>
                <w:szCs w:val="20"/>
                <w:color w:val="auto"/>
                <w:w w:val="98"/>
              </w:rPr>
              <w:t>25.5%</w:t>
            </w:r>
          </w:p>
        </w:tc>
        <w:tc>
          <w:tcPr>
            <w:tcW w:w="780" w:type="dxa"/>
            <w:vAlign w:val="bottom"/>
            <w:tcBorders>
              <w:right w:val="single" w:sz="8" w:color="auto"/>
            </w:tcBorders>
            <w:gridSpan w:val="5"/>
            <w:shd w:val="clear" w:color="auto" w:fill="CFF0FC"/>
          </w:tcPr>
          <w:p>
            <w:pPr>
              <w:jc w:val="center"/>
              <w:ind w:right="20"/>
              <w:spacing w:after="0" w:line="203" w:lineRule="exact"/>
              <w:rPr>
                <w:sz w:val="20"/>
                <w:szCs w:val="20"/>
                <w:color w:val="auto"/>
              </w:rPr>
            </w:pPr>
            <w:r>
              <w:rPr>
                <w:rFonts w:ascii="Arial" w:cs="Arial" w:eastAsia="Arial" w:hAnsi="Arial"/>
                <w:sz w:val="20"/>
                <w:szCs w:val="20"/>
                <w:color w:val="auto"/>
                <w:w w:val="98"/>
              </w:rPr>
              <w:t>27.0%</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bottom w:val="single" w:sz="8" w:color="auto"/>
            </w:tcBorders>
            <w:gridSpan w:val="4"/>
          </w:tcPr>
          <w:p>
            <w:pPr>
              <w:ind w:left="20"/>
              <w:spacing w:after="0" w:line="203" w:lineRule="exact"/>
              <w:rPr>
                <w:sz w:val="20"/>
                <w:szCs w:val="20"/>
                <w:color w:val="auto"/>
              </w:rPr>
            </w:pPr>
            <w:r>
              <w:rPr>
                <w:rFonts w:ascii="Arial" w:cs="Arial" w:eastAsia="Arial" w:hAnsi="Arial"/>
                <w:sz w:val="20"/>
                <w:szCs w:val="20"/>
                <w:color w:val="auto"/>
              </w:rPr>
              <w:t>CapEx</w:t>
            </w: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6"/>
          </w:tcPr>
          <w:p>
            <w:pPr>
              <w:jc w:val="center"/>
              <w:ind w:right="20"/>
              <w:spacing w:after="0" w:line="203" w:lineRule="exact"/>
              <w:rPr>
                <w:sz w:val="20"/>
                <w:szCs w:val="20"/>
                <w:color w:val="auto"/>
              </w:rPr>
            </w:pPr>
            <w:r>
              <w:rPr>
                <w:rFonts w:ascii="Arial" w:cs="Arial" w:eastAsia="Arial" w:hAnsi="Arial"/>
                <w:sz w:val="20"/>
                <w:szCs w:val="20"/>
                <w:color w:val="auto"/>
              </w:rPr>
              <w:t>$100M</w:t>
            </w:r>
          </w:p>
        </w:tc>
        <w:tc>
          <w:tcPr>
            <w:tcW w:w="780" w:type="dxa"/>
            <w:vAlign w:val="bottom"/>
            <w:tcBorders>
              <w:bottom w:val="single" w:sz="8" w:color="auto"/>
              <w:right w:val="single" w:sz="8" w:color="auto"/>
            </w:tcBorders>
            <w:gridSpan w:val="5"/>
          </w:tcPr>
          <w:p>
            <w:pPr>
              <w:jc w:val="center"/>
              <w:ind w:right="20"/>
              <w:spacing w:after="0" w:line="203" w:lineRule="exact"/>
              <w:rPr>
                <w:sz w:val="20"/>
                <w:szCs w:val="20"/>
                <w:color w:val="auto"/>
              </w:rPr>
            </w:pPr>
            <w:r>
              <w:rPr>
                <w:rFonts w:ascii="Arial" w:cs="Arial" w:eastAsia="Arial" w:hAnsi="Arial"/>
                <w:sz w:val="20"/>
                <w:szCs w:val="20"/>
                <w:color w:val="auto"/>
                <w:w w:val="98"/>
              </w:rPr>
              <w:t>$120M</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4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10"/>
          </w:tcPr>
          <w:p>
            <w:pPr>
              <w:jc w:val="center"/>
              <w:ind w:right="480"/>
              <w:spacing w:after="0" w:line="169" w:lineRule="exact"/>
              <w:rPr>
                <w:sz w:val="20"/>
                <w:szCs w:val="20"/>
                <w:color w:val="auto"/>
              </w:rPr>
            </w:pPr>
            <w:r>
              <w:rPr>
                <w:rFonts w:ascii="Arial" w:cs="Arial" w:eastAsia="Arial" w:hAnsi="Arial"/>
                <w:sz w:val="19"/>
                <w:szCs w:val="19"/>
                <w:b w:val="1"/>
                <w:bCs w:val="1"/>
                <w:color w:val="auto"/>
              </w:rPr>
              <w:t>Q2 2026 Guidance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jc w:val="center"/>
              <w:ind w:right="100"/>
              <w:spacing w:after="0" w:line="183" w:lineRule="exact"/>
              <w:rPr>
                <w:sz w:val="20"/>
                <w:szCs w:val="20"/>
                <w:color w:val="auto"/>
              </w:rPr>
            </w:pPr>
            <w:r>
              <w:rPr>
                <w:rFonts w:ascii="Arial" w:cs="Arial" w:eastAsia="Arial" w:hAnsi="Arial"/>
                <w:sz w:val="20"/>
                <w:szCs w:val="20"/>
                <w:b w:val="1"/>
                <w:bCs w:val="1"/>
                <w:color w:val="auto"/>
                <w:w w:val="99"/>
              </w:rPr>
              <w:t>Low</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auto"/>
            </w:tcBorders>
            <w:gridSpan w:val="6"/>
          </w:tcPr>
          <w:p>
            <w:pPr>
              <w:spacing w:after="0" w:line="183" w:lineRule="exact"/>
              <w:rPr>
                <w:sz w:val="20"/>
                <w:szCs w:val="20"/>
                <w:color w:val="auto"/>
              </w:rPr>
            </w:pPr>
            <w:r>
              <w:rPr>
                <w:rFonts w:ascii="Arial" w:cs="Arial" w:eastAsia="Arial" w:hAnsi="Arial"/>
                <w:sz w:val="20"/>
                <w:szCs w:val="20"/>
                <w:b w:val="1"/>
                <w:bCs w:val="1"/>
                <w:color w:val="auto"/>
              </w:rPr>
              <w:t>High</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Borders>
              <w:right w:val="single" w:sz="8" w:color="auto"/>
            </w:tcBorders>
          </w:tcPr>
          <w:p>
            <w:pPr>
              <w:spacing w:after="0"/>
              <w:rPr>
                <w:sz w:val="17"/>
                <w:szCs w:val="17"/>
                <w:color w:val="auto"/>
              </w:rPr>
            </w:pPr>
          </w:p>
        </w:tc>
        <w:tc>
          <w:tcPr>
            <w:tcW w:w="1320" w:type="dxa"/>
            <w:vAlign w:val="bottom"/>
            <w:tcBorders>
              <w:bottom w:val="single" w:sz="8" w:color="auto"/>
            </w:tcBorders>
            <w:gridSpan w:val="3"/>
            <w:shd w:val="clear" w:color="auto" w:fill="CFF0FC"/>
          </w:tcPr>
          <w:p>
            <w:pPr>
              <w:spacing w:after="0" w:line="203" w:lineRule="exact"/>
              <w:rPr>
                <w:sz w:val="20"/>
                <w:szCs w:val="20"/>
                <w:color w:val="auto"/>
              </w:rPr>
            </w:pPr>
            <w:r>
              <w:rPr>
                <w:rFonts w:ascii="Arial" w:cs="Arial" w:eastAsia="Arial" w:hAnsi="Arial"/>
                <w:sz w:val="20"/>
                <w:szCs w:val="20"/>
                <w:color w:val="auto"/>
              </w:rPr>
              <w:t>Net sales</w:t>
            </w:r>
          </w:p>
        </w:tc>
        <w:tc>
          <w:tcPr>
            <w:tcW w:w="800" w:type="dxa"/>
            <w:vAlign w:val="bottom"/>
            <w:tcBorders>
              <w:bottom w:val="single" w:sz="8" w:color="auto"/>
            </w:tcBorders>
            <w:gridSpan w:val="3"/>
            <w:shd w:val="clear" w:color="auto" w:fill="CFF0FC"/>
          </w:tcPr>
          <w:p>
            <w:pPr>
              <w:jc w:val="center"/>
              <w:ind w:left="101"/>
              <w:spacing w:after="0" w:line="203" w:lineRule="exact"/>
              <w:rPr>
                <w:sz w:val="20"/>
                <w:szCs w:val="20"/>
                <w:color w:val="auto"/>
              </w:rPr>
            </w:pPr>
            <w:r>
              <w:rPr>
                <w:rFonts w:ascii="Arial" w:cs="Arial" w:eastAsia="Arial" w:hAnsi="Arial"/>
                <w:sz w:val="20"/>
                <w:szCs w:val="20"/>
                <w:color w:val="auto"/>
                <w:w w:val="98"/>
              </w:rPr>
              <w:t>$388M</w:t>
            </w:r>
          </w:p>
        </w:tc>
        <w:tc>
          <w:tcPr>
            <w:tcW w:w="2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auto"/>
            </w:tcBorders>
            <w:gridSpan w:val="7"/>
            <w:shd w:val="clear" w:color="auto" w:fill="CFF0FC"/>
          </w:tcPr>
          <w:p>
            <w:pPr>
              <w:jc w:val="right"/>
              <w:ind w:right="101"/>
              <w:spacing w:after="0" w:line="203" w:lineRule="exact"/>
              <w:rPr>
                <w:sz w:val="20"/>
                <w:szCs w:val="20"/>
                <w:color w:val="auto"/>
              </w:rPr>
            </w:pPr>
            <w:r>
              <w:rPr>
                <w:rFonts w:ascii="Arial" w:cs="Arial" w:eastAsia="Arial" w:hAnsi="Arial"/>
                <w:sz w:val="20"/>
                <w:szCs w:val="20"/>
                <w:color w:val="auto"/>
              </w:rPr>
              <w:t>$403M</w:t>
            </w:r>
          </w:p>
        </w:tc>
        <w:tc>
          <w:tcPr>
            <w:tcW w:w="2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5349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Conference Call &amp; Webcast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5" w:lineRule="exact"/>
        <w:rPr>
          <w:sz w:val="20"/>
          <w:szCs w:val="20"/>
          <w:color w:val="auto"/>
        </w:rPr>
      </w:pPr>
    </w:p>
    <w:p>
      <w:pPr>
        <w:ind w:left="300" w:right="459"/>
        <w:spacing w:after="0" w:line="237" w:lineRule="auto"/>
        <w:rPr>
          <w:sz w:val="20"/>
          <w:szCs w:val="20"/>
          <w:color w:val="auto"/>
        </w:rPr>
      </w:pPr>
      <w:r>
        <w:rPr>
          <w:rFonts w:ascii="Arial" w:cs="Arial" w:eastAsia="Arial" w:hAnsi="Arial"/>
          <w:sz w:val="20"/>
          <w:szCs w:val="20"/>
          <w:color w:val="auto"/>
        </w:rPr>
        <w:t>Trex will hold a conference call to discuss its first quarter 2026 results on Thursday, May 7, 2026, at 8:00 a.m. ET. To participate on the day of the call, dial 1-844-792-3734, or internationally 1-412-317-5126, approximately ten minutes before the call, and tell the operator you wish to join the Trex Company Conference Call.</w:t>
      </w:r>
    </w:p>
    <w:p>
      <w:pPr>
        <w:spacing w:after="0" w:line="172" w:lineRule="exact"/>
        <w:rPr>
          <w:sz w:val="20"/>
          <w:szCs w:val="20"/>
          <w:color w:val="auto"/>
        </w:rPr>
      </w:pPr>
    </w:p>
    <w:p>
      <w:pPr>
        <w:ind w:left="300" w:right="459"/>
        <w:spacing w:after="0" w:line="237" w:lineRule="auto"/>
        <w:rPr>
          <w:sz w:val="20"/>
          <w:szCs w:val="20"/>
          <w:color w:val="auto"/>
        </w:rPr>
      </w:pPr>
      <w:r>
        <w:rPr>
          <w:rFonts w:ascii="Arial" w:cs="Arial" w:eastAsia="Arial" w:hAnsi="Arial"/>
          <w:sz w:val="20"/>
          <w:szCs w:val="20"/>
          <w:color w:val="auto"/>
        </w:rPr>
        <w:t>A live webcast of the conference call will be available in the Investor Relations section of the Trex Company website at 1Q26 Earnings Webcast. For those who cannot listen to the live broadcast, an audio replay of the conference call will be available within 24 hours of the call on the Trex website. The audio replay will be available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1" w:lineRule="exact"/>
        <w:rPr>
          <w:sz w:val="20"/>
          <w:szCs w:val="20"/>
          <w:color w:val="auto"/>
        </w:rPr>
      </w:pPr>
    </w:p>
    <w:p>
      <w:pPr>
        <w:ind w:left="300" w:right="419"/>
        <w:spacing w:after="0" w:line="241" w:lineRule="auto"/>
        <w:rPr>
          <w:sz w:val="20"/>
          <w:szCs w:val="20"/>
          <w:color w:val="auto"/>
        </w:rPr>
      </w:pPr>
      <w:r>
        <w:rPr>
          <w:rFonts w:ascii="Arial" w:cs="Arial" w:eastAsia="Arial" w:hAnsi="Arial"/>
          <w:sz w:val="19"/>
          <w:szCs w:val="19"/>
          <w:color w:val="auto"/>
        </w:rPr>
        <w:t>The Company reports its financial results in accordance with accounting principles generally accepted in the United States (GAAP). To supplement our consolidated financial statements reported on a GAAP basis, we provide the following non-GAAP financial measures, adjusted gross profit, adjusted net income, adjusted diluted earnings per share, earnings before interest, income taxes, depreciation and amortization (EBITDA), adjusted EBITDA and free cash flow. Management believes these non-GAAP financial measures provide investors with additional meaningful financial information that should be considered when assessing our underlying business performance and trends. Further, management believes these non-GAAP financial measures also enhance investors’ ability to compare period-to-period financial results. Non-GAAP financial measures should be viewed in addition to, and not as an alternative for, the Company’s reported results prepared in accordance with GAAP and are not meant to be</w:t>
      </w:r>
    </w:p>
    <w:p>
      <w:pPr>
        <w:spacing w:after="0" w:line="165"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617855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8" w:name="page9"/>
    <w:bookmarkEnd w:id="8"/>
    <w:p>
      <w:pPr>
        <w:ind w:left="300" w:right="319"/>
        <w:spacing w:after="0" w:line="230" w:lineRule="auto"/>
        <w:rPr>
          <w:sz w:val="20"/>
          <w:szCs w:val="20"/>
          <w:color w:val="auto"/>
        </w:rPr>
      </w:pPr>
      <w:r>
        <w:rPr>
          <w:rFonts w:ascii="Arial" w:cs="Arial" w:eastAsia="Arial" w:hAnsi="Arial"/>
          <w:sz w:val="20"/>
          <w:szCs w:val="20"/>
          <w:color w:val="auto"/>
        </w:rPr>
        <w:t>considered superior to or a substitute for our GAAP results. Our non-GAAP financial measures do not represent a comprehensive basis of accounting. Therefore, our non-GAAP financial measures may not be comparable to similarly titled measures reported by other companies. Reconciliations of these non-GAAP financial measures to GAAP information are included below. Management uses these non-GAAP financial measures in making financial, operating, compensation and planning decisions and in evaluating the Company’s performance. Disclosing these non-GAAP financial measures allows investors and management to view our operating results excluding the impact of items that are not reflective of the underlying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Non-GAAP Reconciliation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Gross Profit to Adjusted Gross Profit</w:t>
      </w:r>
    </w:p>
    <w:p>
      <w:pPr>
        <w:spacing w:after="0" w:line="202" w:lineRule="exact"/>
        <w:rPr>
          <w:sz w:val="20"/>
          <w:szCs w:val="20"/>
          <w:color w:val="auto"/>
        </w:rPr>
      </w:pPr>
    </w:p>
    <w:tbl>
      <w:tblPr>
        <w:tblLayout w:type="fixed"/>
        <w:tblInd w:w="730" w:type="dxa"/>
        <w:tblCellMar>
          <w:top w:w="0" w:type="dxa"/>
          <w:left w:w="0" w:type="dxa"/>
          <w:bottom w:w="0" w:type="dxa"/>
          <w:right w:w="0" w:type="dxa"/>
        </w:tblCellMar>
      </w:tblPr>
      <w:tr>
        <w:trPr>
          <w:trHeight w:val="183"/>
        </w:trPr>
        <w:tc>
          <w:tcPr>
            <w:tcW w:w="220" w:type="dxa"/>
            <w:vAlign w:val="bottom"/>
            <w:tcBorders>
              <w:right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100" w:type="dxa"/>
            <w:vAlign w:val="bottom"/>
            <w:tcBorders>
              <w:top w:val="single" w:sz="8" w:color="auto"/>
              <w:right w:val="single" w:sz="8" w:color="auto"/>
            </w:tcBorders>
            <w:gridSpan w:val="8"/>
          </w:tcPr>
          <w:p>
            <w:pPr>
              <w:jc w:val="right"/>
              <w:ind w:right="481"/>
              <w:spacing w:after="0" w:line="183" w:lineRule="exact"/>
              <w:rPr>
                <w:sz w:val="20"/>
                <w:szCs w:val="20"/>
                <w:color w:val="auto"/>
              </w:rPr>
            </w:pPr>
            <w:r>
              <w:rPr>
                <w:rFonts w:ascii="Arial" w:cs="Arial" w:eastAsia="Arial" w:hAnsi="Arial"/>
                <w:sz w:val="20"/>
                <w:szCs w:val="20"/>
                <w:b w:val="1"/>
                <w:bCs w:val="1"/>
                <w:color w:val="auto"/>
              </w:rPr>
              <w:t>Three Months Ended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20" w:type="dxa"/>
            <w:vAlign w:val="bottom"/>
            <w:tcBorders>
              <w:righ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210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7"/>
              </w:rPr>
              <w:t>TREX COMPANY, INC.</w:t>
            </w:r>
          </w:p>
        </w:tc>
        <w:tc>
          <w:tcPr>
            <w:tcW w:w="1060" w:type="dxa"/>
            <w:vAlign w:val="bottom"/>
            <w:gridSpan w:val="2"/>
            <w:vMerge w:val="restart"/>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March 31,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20"/>
                <w:szCs w:val="20"/>
                <w:b w:val="1"/>
                <w:bCs w:val="1"/>
                <w:color w:val="auto"/>
              </w:rPr>
              <w:t>2026</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3"/>
          </w:tcPr>
          <w:p>
            <w:pPr>
              <w:ind w:left="140"/>
              <w:spacing w:after="0" w:line="183" w:lineRule="exact"/>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gridSpan w:val="3"/>
          </w:tcPr>
          <w:p>
            <w:pPr>
              <w:ind w:left="840"/>
              <w:spacing w:after="0" w:line="203" w:lineRule="exact"/>
              <w:rPr>
                <w:sz w:val="20"/>
                <w:szCs w:val="20"/>
                <w:color w:val="auto"/>
              </w:rPr>
            </w:pPr>
            <w:r>
              <w:rPr>
                <w:rFonts w:ascii="Arial" w:cs="Arial" w:eastAsia="Arial" w:hAnsi="Arial"/>
                <w:sz w:val="20"/>
                <w:szCs w:val="20"/>
                <w:i w:val="1"/>
                <w:iCs w:val="1"/>
                <w:color w:val="auto"/>
              </w:rPr>
              <w:t>($ in</w:t>
            </w:r>
          </w:p>
        </w:tc>
        <w:tc>
          <w:tcPr>
            <w:tcW w:w="960" w:type="dxa"/>
            <w:vAlign w:val="bottom"/>
            <w:gridSpan w:val="4"/>
          </w:tcPr>
          <w:p>
            <w:pPr>
              <w:jc w:val="right"/>
              <w:ind w:right="100"/>
              <w:spacing w:after="0" w:line="203" w:lineRule="exact"/>
              <w:rPr>
                <w:sz w:val="20"/>
                <w:szCs w:val="20"/>
                <w:color w:val="auto"/>
              </w:rPr>
            </w:pPr>
            <w:r>
              <w:rPr>
                <w:rFonts w:ascii="Arial" w:cs="Arial" w:eastAsia="Arial" w:hAnsi="Arial"/>
                <w:sz w:val="20"/>
                <w:szCs w:val="20"/>
                <w:i w:val="1"/>
                <w:iCs w:val="1"/>
                <w:color w:val="auto"/>
                <w:w w:val="84"/>
              </w:rPr>
              <w:t>thousands)</w:t>
            </w:r>
          </w:p>
        </w:tc>
        <w:tc>
          <w:tcPr>
            <w:tcW w:w="7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auto"/>
            </w:tcBorders>
          </w:tcPr>
          <w:p>
            <w:pPr>
              <w:spacing w:after="0"/>
              <w:rPr>
                <w:sz w:val="17"/>
                <w:szCs w:val="17"/>
                <w:color w:val="auto"/>
              </w:rPr>
            </w:pPr>
          </w:p>
        </w:tc>
        <w:tc>
          <w:tcPr>
            <w:tcW w:w="4040" w:type="dxa"/>
            <w:vAlign w:val="bottom"/>
            <w:gridSpan w:val="5"/>
            <w:shd w:val="clear" w:color="auto" w:fill="CFF0FC"/>
          </w:tcPr>
          <w:p>
            <w:pPr>
              <w:spacing w:after="0" w:line="203" w:lineRule="exact"/>
              <w:rPr>
                <w:sz w:val="20"/>
                <w:szCs w:val="20"/>
                <w:color w:val="auto"/>
              </w:rPr>
            </w:pPr>
            <w:r>
              <w:rPr>
                <w:rFonts w:ascii="Arial" w:cs="Arial" w:eastAsia="Arial" w:hAnsi="Arial"/>
                <w:sz w:val="20"/>
                <w:szCs w:val="20"/>
                <w:b w:val="1"/>
                <w:bCs w:val="1"/>
                <w:color w:val="auto"/>
              </w:rPr>
              <w:t>Gross profit</w:t>
            </w:r>
          </w:p>
        </w:tc>
        <w:tc>
          <w:tcPr>
            <w:tcW w:w="140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rPr>
              <w:t>$139,022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rPr>
              <w:t>$</w:t>
            </w:r>
          </w:p>
        </w:tc>
        <w:tc>
          <w:tcPr>
            <w:tcW w:w="7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w w:val="96"/>
              </w:rPr>
              <w:t>137,731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auto"/>
            </w:tcBorders>
          </w:tcPr>
          <w:p>
            <w:pPr>
              <w:spacing w:after="0"/>
              <w:rPr>
                <w:sz w:val="17"/>
                <w:szCs w:val="17"/>
                <w:color w:val="auto"/>
              </w:rPr>
            </w:pPr>
          </w:p>
        </w:tc>
        <w:tc>
          <w:tcPr>
            <w:tcW w:w="4040" w:type="dxa"/>
            <w:vAlign w:val="bottom"/>
            <w:gridSpan w:val="5"/>
          </w:tcPr>
          <w:p>
            <w:pPr>
              <w:spacing w:after="0" w:line="203" w:lineRule="exact"/>
              <w:rPr>
                <w:sz w:val="20"/>
                <w:szCs w:val="20"/>
                <w:color w:val="auto"/>
              </w:rPr>
            </w:pPr>
            <w:r>
              <w:rPr>
                <w:rFonts w:ascii="Arial" w:cs="Arial" w:eastAsia="Arial" w:hAnsi="Arial"/>
                <w:sz w:val="20"/>
                <w:szCs w:val="20"/>
                <w:color w:val="auto"/>
              </w:rPr>
              <w:t>Railing conversion</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20"/>
                <w:szCs w:val="20"/>
                <w:color w:val="auto"/>
              </w:rPr>
              <w:t>3,826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auto"/>
            </w:tcBorders>
          </w:tcPr>
          <w:p>
            <w:pPr>
              <w:spacing w:after="0"/>
              <w:rPr>
                <w:sz w:val="17"/>
                <w:szCs w:val="17"/>
                <w:color w:val="auto"/>
              </w:rPr>
            </w:pPr>
          </w:p>
        </w:tc>
        <w:tc>
          <w:tcPr>
            <w:tcW w:w="4040" w:type="dxa"/>
            <w:vAlign w:val="bottom"/>
            <w:tcBorders>
              <w:bottom w:val="single" w:sz="8" w:color="auto"/>
            </w:tcBorders>
            <w:gridSpan w:val="5"/>
            <w:shd w:val="clear" w:color="auto" w:fill="CFF0FC"/>
          </w:tcPr>
          <w:p>
            <w:pPr>
              <w:spacing w:after="0" w:line="196" w:lineRule="exact"/>
              <w:rPr>
                <w:sz w:val="20"/>
                <w:szCs w:val="20"/>
                <w:color w:val="auto"/>
              </w:rPr>
            </w:pPr>
            <w:r>
              <w:rPr>
                <w:rFonts w:ascii="Arial" w:cs="Arial" w:eastAsia="Arial" w:hAnsi="Arial"/>
                <w:sz w:val="20"/>
                <w:szCs w:val="20"/>
                <w:color w:val="auto"/>
              </w:rPr>
              <w:t>Adjusted gross profit</w:t>
            </w:r>
          </w:p>
        </w:tc>
        <w:tc>
          <w:tcPr>
            <w:tcW w:w="140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20"/>
                <w:szCs w:val="20"/>
                <w:color w:val="auto"/>
              </w:rPr>
              <w:t>$139,022</w:t>
            </w:r>
          </w:p>
        </w:tc>
        <w:tc>
          <w:tcPr>
            <w:tcW w:w="2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w:t>
            </w:r>
          </w:p>
        </w:tc>
        <w:tc>
          <w:tcPr>
            <w:tcW w:w="7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w w:val="96"/>
              </w:rPr>
              <w:t>141,557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6400" w:type="dxa"/>
            <w:vAlign w:val="bottom"/>
            <w:gridSpan w:val="12"/>
          </w:tcPr>
          <w:p>
            <w:pPr>
              <w:ind w:left="760"/>
              <w:spacing w:after="0"/>
              <w:rPr>
                <w:sz w:val="20"/>
                <w:szCs w:val="20"/>
                <w:color w:val="auto"/>
              </w:rPr>
            </w:pPr>
            <w:r>
              <w:rPr>
                <w:rFonts w:ascii="Arial" w:cs="Arial" w:eastAsia="Arial" w:hAnsi="Arial"/>
                <w:sz w:val="20"/>
                <w:szCs w:val="20"/>
                <w:b w:val="1"/>
                <w:bCs w:val="1"/>
                <w:color w:val="auto"/>
                <w:w w:val="99"/>
              </w:rPr>
              <w:t>Reconciliation of GAAP Net Income to Adjusted Net Income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spacing w:after="0"/>
              <w:rPr>
                <w:sz w:val="24"/>
                <w:szCs w:val="24"/>
                <w:color w:val="auto"/>
              </w:rPr>
            </w:pPr>
          </w:p>
        </w:tc>
        <w:tc>
          <w:tcPr>
            <w:tcW w:w="12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Borders>
              <w:right w:val="single" w:sz="8" w:color="auto"/>
            </w:tcBorders>
            <w:gridSpan w:val="7"/>
          </w:tcPr>
          <w:p>
            <w:pPr>
              <w:jc w:val="center"/>
              <w:ind w:right="280"/>
              <w:spacing w:after="0" w:line="159"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7"/>
        </w:trPr>
        <w:tc>
          <w:tcPr>
            <w:tcW w:w="220" w:type="dxa"/>
            <w:vAlign w:val="bottom"/>
            <w:tcBorders>
              <w:left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20"/>
                <w:szCs w:val="20"/>
                <w:b w:val="1"/>
                <w:bCs w:val="1"/>
                <w:color w:val="auto"/>
              </w:rPr>
              <w:t>TREX COMPANY, INC.</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Borders>
              <w:right w:val="single" w:sz="8" w:color="auto"/>
            </w:tcBorders>
            <w:gridSpan w:val="6"/>
          </w:tcPr>
          <w:p>
            <w:pPr>
              <w:jc w:val="center"/>
              <w:ind w:right="680"/>
              <w:spacing w:after="0"/>
              <w:rPr>
                <w:sz w:val="20"/>
                <w:szCs w:val="20"/>
                <w:color w:val="auto"/>
              </w:rPr>
            </w:pPr>
            <w:r>
              <w:rPr>
                <w:rFonts w:ascii="Arial" w:cs="Arial" w:eastAsia="Arial" w:hAnsi="Arial"/>
                <w:sz w:val="20"/>
                <w:szCs w:val="20"/>
                <w:b w:val="1"/>
                <w:bCs w:val="1"/>
                <w:color w:val="auto"/>
                <w:w w:val="99"/>
              </w:rPr>
              <w:t>March 31,</w:t>
            </w:r>
          </w:p>
        </w:tc>
        <w:tc>
          <w:tcPr>
            <w:tcW w:w="0" w:type="dxa"/>
            <w:vAlign w:val="bottom"/>
          </w:tcPr>
          <w:p>
            <w:pPr>
              <w:spacing w:after="0"/>
              <w:rPr>
                <w:sz w:val="1"/>
                <w:szCs w:val="1"/>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20"/>
                <w:szCs w:val="20"/>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21"/>
              <w:spacing w:after="0" w:line="203" w:lineRule="exact"/>
              <w:rPr>
                <w:sz w:val="20"/>
                <w:szCs w:val="20"/>
                <w:color w:val="auto"/>
              </w:rPr>
            </w:pPr>
            <w:r>
              <w:rPr>
                <w:rFonts w:ascii="Arial" w:cs="Arial" w:eastAsia="Arial" w:hAnsi="Arial"/>
                <w:sz w:val="20"/>
                <w:szCs w:val="20"/>
                <w:b w:val="1"/>
                <w:bCs w:val="1"/>
                <w:color w:val="auto"/>
              </w:rPr>
              <w:t>2025</w:t>
            </w:r>
          </w:p>
        </w:tc>
        <w:tc>
          <w:tcPr>
            <w:tcW w:w="22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right w:val="single" w:sz="8" w:color="auto"/>
            </w:tcBorders>
            <w:gridSpan w:val="7"/>
          </w:tcPr>
          <w:p>
            <w:pPr>
              <w:jc w:val="center"/>
              <w:ind w:right="260"/>
              <w:spacing w:after="0" w:line="196" w:lineRule="exact"/>
              <w:rPr>
                <w:sz w:val="20"/>
                <w:szCs w:val="20"/>
                <w:color w:val="auto"/>
              </w:rPr>
            </w:pPr>
            <w:r>
              <w:rPr>
                <w:rFonts w:ascii="Arial" w:cs="Arial" w:eastAsia="Arial" w:hAnsi="Arial"/>
                <w:sz w:val="20"/>
                <w:szCs w:val="20"/>
                <w:i w:val="1"/>
                <w:iCs w:val="1"/>
                <w:color w:val="auto"/>
                <w:w w:val="98"/>
              </w:rPr>
              <w:t>($ in thousands)</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b w:val="1"/>
                <w:bCs w:val="1"/>
                <w:color w:val="auto"/>
              </w:rPr>
              <w:t>Net Income</w:t>
            </w:r>
          </w:p>
        </w:tc>
        <w:tc>
          <w:tcPr>
            <w:tcW w:w="1000" w:type="dxa"/>
            <w:vAlign w:val="bottom"/>
            <w:gridSpan w:val="2"/>
            <w:shd w:val="clear" w:color="auto" w:fill="CFF0FC"/>
          </w:tcPr>
          <w:p>
            <w:pPr>
              <w:ind w:left="840"/>
              <w:spacing w:after="0" w:line="203" w:lineRule="exact"/>
              <w:rPr>
                <w:sz w:val="20"/>
                <w:szCs w:val="20"/>
                <w:color w:val="auto"/>
              </w:rPr>
            </w:pPr>
            <w:r>
              <w:rPr>
                <w:rFonts w:ascii="Arial" w:cs="Arial" w:eastAsia="Arial" w:hAnsi="Arial"/>
                <w:sz w:val="20"/>
                <w:szCs w:val="20"/>
                <w:b w:val="1"/>
                <w:bCs w:val="1"/>
                <w:color w:val="auto"/>
              </w:rPr>
              <w:t>$</w:t>
            </w:r>
          </w:p>
        </w:tc>
        <w:tc>
          <w:tcPr>
            <w:tcW w:w="1000" w:type="dxa"/>
            <w:vAlign w:val="bottom"/>
            <w:gridSpan w:val="3"/>
            <w:shd w:val="clear" w:color="auto" w:fill="CFF0FC"/>
          </w:tcPr>
          <w:p>
            <w:pPr>
              <w:jc w:val="right"/>
              <w:ind w:right="1"/>
              <w:spacing w:after="0" w:line="203" w:lineRule="exact"/>
              <w:rPr>
                <w:sz w:val="20"/>
                <w:szCs w:val="20"/>
                <w:color w:val="auto"/>
              </w:rPr>
            </w:pPr>
            <w:r>
              <w:rPr>
                <w:rFonts w:ascii="Arial" w:cs="Arial" w:eastAsia="Arial" w:hAnsi="Arial"/>
                <w:sz w:val="20"/>
                <w:szCs w:val="20"/>
                <w:b w:val="1"/>
                <w:bCs w:val="1"/>
                <w:color w:val="auto"/>
              </w:rPr>
              <w:t>61,403</w:t>
            </w:r>
          </w:p>
        </w:tc>
        <w:tc>
          <w:tcPr>
            <w:tcW w:w="360" w:type="dxa"/>
            <w:vAlign w:val="bottom"/>
            <w:gridSpan w:val="2"/>
            <w:shd w:val="clear" w:color="auto" w:fill="CFF0FC"/>
          </w:tcPr>
          <w:p>
            <w:pPr>
              <w:ind w:left="120"/>
              <w:spacing w:after="0" w:line="203" w:lineRule="exact"/>
              <w:rPr>
                <w:sz w:val="20"/>
                <w:szCs w:val="20"/>
                <w:color w:val="auto"/>
              </w:rPr>
            </w:pPr>
            <w:r>
              <w:rPr>
                <w:rFonts w:ascii="Arial" w:cs="Arial" w:eastAsia="Arial" w:hAnsi="Arial"/>
                <w:sz w:val="20"/>
                <w:szCs w:val="20"/>
                <w:b w:val="1"/>
                <w:bCs w:val="1"/>
                <w:color w:val="auto"/>
              </w:rPr>
              <w:t>$</w:t>
            </w:r>
          </w:p>
        </w:tc>
        <w:tc>
          <w:tcPr>
            <w:tcW w:w="960" w:type="dxa"/>
            <w:vAlign w:val="bottom"/>
            <w:tcBorders>
              <w:right w:val="single" w:sz="8" w:color="auto"/>
            </w:tcBorders>
            <w:gridSpan w:val="2"/>
            <w:shd w:val="clear" w:color="auto" w:fill="CFF0FC"/>
          </w:tcPr>
          <w:p>
            <w:pPr>
              <w:jc w:val="right"/>
              <w:ind w:right="120"/>
              <w:spacing w:after="0" w:line="203" w:lineRule="exact"/>
              <w:rPr>
                <w:sz w:val="20"/>
                <w:szCs w:val="20"/>
                <w:color w:val="auto"/>
              </w:rPr>
            </w:pPr>
            <w:r>
              <w:rPr>
                <w:rFonts w:ascii="Arial" w:cs="Arial" w:eastAsia="Arial" w:hAnsi="Arial"/>
                <w:sz w:val="20"/>
                <w:szCs w:val="20"/>
                <w:b w:val="1"/>
                <w:bCs w:val="1"/>
                <w:color w:val="auto"/>
              </w:rPr>
              <w:t>60,434</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Railing conversion</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ind w:right="1"/>
              <w:spacing w:after="0" w:line="203"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20"/>
              <w:spacing w:after="0" w:line="203" w:lineRule="exact"/>
              <w:rPr>
                <w:sz w:val="20"/>
                <w:szCs w:val="20"/>
                <w:color w:val="auto"/>
              </w:rPr>
            </w:pPr>
            <w:r>
              <w:rPr>
                <w:rFonts w:ascii="Arial" w:cs="Arial" w:eastAsia="Arial" w:hAnsi="Arial"/>
                <w:sz w:val="20"/>
                <w:szCs w:val="20"/>
                <w:color w:val="auto"/>
              </w:rPr>
              <w:t>3,826</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color w:val="auto"/>
              </w:rPr>
              <w:t>Digital transformation</w:t>
            </w: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
              <w:spacing w:after="0" w:line="203" w:lineRule="exact"/>
              <w:rPr>
                <w:sz w:val="20"/>
                <w:szCs w:val="20"/>
                <w:color w:val="auto"/>
              </w:rPr>
            </w:pPr>
            <w:r>
              <w:rPr>
                <w:rFonts w:ascii="Arial" w:cs="Arial" w:eastAsia="Arial" w:hAnsi="Arial"/>
                <w:sz w:val="20"/>
                <w:szCs w:val="20"/>
                <w:color w:val="auto"/>
              </w:rPr>
              <w:t>1,014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tcBorders>
              <w:right w:val="single" w:sz="8" w:color="auto"/>
            </w:tcBorders>
            <w:gridSpan w:val="2"/>
            <w:shd w:val="clear" w:color="auto" w:fill="CFF0FC"/>
          </w:tcPr>
          <w:p>
            <w:pPr>
              <w:jc w:val="right"/>
              <w:ind w:right="120"/>
              <w:spacing w:after="0" w:line="203" w:lineRule="exact"/>
              <w:rPr>
                <w:sz w:val="20"/>
                <w:szCs w:val="20"/>
                <w:color w:val="auto"/>
              </w:rPr>
            </w:pPr>
            <w:r>
              <w:rPr>
                <w:rFonts w:ascii="Arial" w:cs="Arial" w:eastAsia="Arial" w:hAnsi="Arial"/>
                <w:sz w:val="20"/>
                <w:szCs w:val="20"/>
                <w:color w:val="auto"/>
              </w:rPr>
              <w:t>452</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Arkansas start up</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226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20"/>
              <w:spacing w:after="0" w:line="203" w:lineRule="exact"/>
              <w:rPr>
                <w:sz w:val="20"/>
                <w:szCs w:val="20"/>
                <w:color w:val="auto"/>
              </w:rPr>
            </w:pPr>
            <w:r>
              <w:rPr>
                <w:rFonts w:ascii="Arial" w:cs="Arial" w:eastAsia="Arial" w:hAnsi="Arial"/>
                <w:sz w:val="20"/>
                <w:szCs w:val="20"/>
                <w:color w:val="auto"/>
              </w:rPr>
              <w:t>1,085</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bottom w:val="single" w:sz="8" w:color="CFF0FC"/>
            </w:tcBorders>
            <w:gridSpan w:val="6"/>
            <w:shd w:val="clear" w:color="auto" w:fill="CFF0FC"/>
          </w:tcPr>
          <w:p>
            <w:pPr>
              <w:ind w:left="20"/>
              <w:spacing w:after="0" w:line="203" w:lineRule="exact"/>
              <w:rPr>
                <w:sz w:val="20"/>
                <w:szCs w:val="20"/>
                <w:color w:val="auto"/>
              </w:rPr>
            </w:pPr>
            <w:r>
              <w:rPr>
                <w:rFonts w:ascii="Arial" w:cs="Arial" w:eastAsia="Arial" w:hAnsi="Arial"/>
                <w:sz w:val="20"/>
                <w:szCs w:val="20"/>
                <w:color w:val="auto"/>
              </w:rPr>
              <w:t>Income tax effect*</w:t>
            </w:r>
          </w:p>
        </w:tc>
        <w:tc>
          <w:tcPr>
            <w:tcW w:w="8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20"/>
                <w:szCs w:val="20"/>
                <w:color w:val="auto"/>
              </w:rPr>
              <w:t>(327)</w:t>
            </w: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right w:val="single" w:sz="8" w:color="auto"/>
            </w:tcBorders>
            <w:gridSpan w:val="2"/>
            <w:shd w:val="clear" w:color="auto" w:fill="CFF0FC"/>
          </w:tcPr>
          <w:p>
            <w:pPr>
              <w:jc w:val="right"/>
              <w:ind w:right="40"/>
              <w:spacing w:after="0" w:line="203" w:lineRule="exact"/>
              <w:rPr>
                <w:sz w:val="20"/>
                <w:szCs w:val="20"/>
                <w:color w:val="auto"/>
              </w:rPr>
            </w:pPr>
            <w:r>
              <w:rPr>
                <w:rFonts w:ascii="Arial" w:cs="Arial" w:eastAsia="Arial" w:hAnsi="Arial"/>
                <w:sz w:val="20"/>
                <w:szCs w:val="20"/>
                <w:color w:val="auto"/>
              </w:rPr>
              <w:t>(1,383)</w:t>
            </w:r>
          </w:p>
        </w:tc>
        <w:tc>
          <w:tcPr>
            <w:tcW w:w="0" w:type="dxa"/>
            <w:vAlign w:val="bottom"/>
          </w:tcPr>
          <w:p>
            <w:pPr>
              <w:spacing w:after="0"/>
              <w:rPr>
                <w:sz w:val="1"/>
                <w:szCs w:val="1"/>
                <w:color w:val="auto"/>
              </w:rPr>
            </w:pPr>
          </w:p>
        </w:tc>
      </w:tr>
      <w:tr>
        <w:trPr>
          <w:trHeight w:val="196"/>
        </w:trPr>
        <w:tc>
          <w:tcPr>
            <w:tcW w:w="4260" w:type="dxa"/>
            <w:vAlign w:val="bottom"/>
            <w:tcBorders>
              <w:left w:val="single" w:sz="8" w:color="auto"/>
            </w:tcBorders>
            <w:gridSpan w:val="6"/>
          </w:tcPr>
          <w:p>
            <w:pPr>
              <w:ind w:left="20"/>
              <w:spacing w:after="0" w:line="196" w:lineRule="exact"/>
              <w:rPr>
                <w:sz w:val="20"/>
                <w:szCs w:val="20"/>
                <w:color w:val="auto"/>
              </w:rPr>
            </w:pPr>
            <w:r>
              <w:rPr>
                <w:rFonts w:ascii="Arial" w:cs="Arial" w:eastAsia="Arial" w:hAnsi="Arial"/>
                <w:sz w:val="20"/>
                <w:szCs w:val="20"/>
                <w:color w:val="auto"/>
              </w:rPr>
              <w:t>Adjusted Net Income</w:t>
            </w:r>
          </w:p>
        </w:tc>
        <w:tc>
          <w:tcPr>
            <w:tcW w:w="84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3"/>
          </w:tcPr>
          <w:p>
            <w:pPr>
              <w:jc w:val="right"/>
              <w:ind w:right="1"/>
              <w:spacing w:after="0" w:line="196" w:lineRule="exact"/>
              <w:rPr>
                <w:sz w:val="20"/>
                <w:szCs w:val="20"/>
                <w:color w:val="auto"/>
              </w:rPr>
            </w:pPr>
            <w:r>
              <w:rPr>
                <w:rFonts w:ascii="Arial" w:cs="Arial" w:eastAsia="Arial" w:hAnsi="Arial"/>
                <w:sz w:val="20"/>
                <w:szCs w:val="20"/>
                <w:color w:val="auto"/>
              </w:rPr>
              <w:t>62,316</w:t>
            </w:r>
          </w:p>
        </w:tc>
        <w:tc>
          <w:tcPr>
            <w:tcW w:w="360" w:type="dxa"/>
            <w:vAlign w:val="bottom"/>
            <w:tcBorders>
              <w:bottom w:val="single" w:sz="8" w:color="auto"/>
            </w:tcBorders>
            <w:gridSpan w:val="2"/>
          </w:tcPr>
          <w:p>
            <w:pPr>
              <w:ind w:left="120"/>
              <w:spacing w:after="0" w:line="196"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gridSpan w:val="2"/>
          </w:tcPr>
          <w:p>
            <w:pPr>
              <w:jc w:val="right"/>
              <w:ind w:right="120"/>
              <w:spacing w:after="0" w:line="196" w:lineRule="exact"/>
              <w:rPr>
                <w:sz w:val="20"/>
                <w:szCs w:val="20"/>
                <w:color w:val="auto"/>
              </w:rPr>
            </w:pPr>
            <w:r>
              <w:rPr>
                <w:rFonts w:ascii="Arial" w:cs="Arial" w:eastAsia="Arial" w:hAnsi="Arial"/>
                <w:sz w:val="20"/>
                <w:szCs w:val="20"/>
                <w:color w:val="auto"/>
              </w:rPr>
              <w:t>64,414</w:t>
            </w:r>
          </w:p>
        </w:tc>
        <w:tc>
          <w:tcPr>
            <w:tcW w:w="0" w:type="dxa"/>
            <w:vAlign w:val="bottom"/>
          </w:tcPr>
          <w:p>
            <w:pPr>
              <w:spacing w:after="0"/>
              <w:rPr>
                <w:sz w:val="1"/>
                <w:szCs w:val="1"/>
                <w:color w:val="auto"/>
              </w:rPr>
            </w:pPr>
          </w:p>
        </w:tc>
      </w:tr>
      <w:tr>
        <w:trPr>
          <w:trHeight w:val="196"/>
        </w:trPr>
        <w:tc>
          <w:tcPr>
            <w:tcW w:w="4260" w:type="dxa"/>
            <w:vAlign w:val="bottom"/>
            <w:tcBorders>
              <w:left w:val="single" w:sz="8" w:color="auto"/>
            </w:tcBorders>
            <w:gridSpan w:val="6"/>
            <w:shd w:val="clear" w:color="auto" w:fill="CFF0FC"/>
          </w:tcPr>
          <w:p>
            <w:pPr>
              <w:ind w:left="20"/>
              <w:spacing w:after="0" w:line="196" w:lineRule="exact"/>
              <w:rPr>
                <w:sz w:val="20"/>
                <w:szCs w:val="20"/>
                <w:color w:val="auto"/>
              </w:rPr>
            </w:pPr>
            <w:r>
              <w:rPr>
                <w:rFonts w:ascii="Arial" w:cs="Arial" w:eastAsia="Arial" w:hAnsi="Arial"/>
                <w:sz w:val="20"/>
                <w:szCs w:val="20"/>
                <w:b w:val="1"/>
                <w:bCs w:val="1"/>
                <w:color w:val="auto"/>
              </w:rPr>
              <w:t>Diluted earnings per share</w:t>
            </w:r>
          </w:p>
        </w:tc>
        <w:tc>
          <w:tcPr>
            <w:tcW w:w="1000" w:type="dxa"/>
            <w:vAlign w:val="bottom"/>
            <w:gridSpan w:val="2"/>
            <w:shd w:val="clear" w:color="auto" w:fill="CFF0FC"/>
          </w:tcPr>
          <w:p>
            <w:pPr>
              <w:ind w:left="840"/>
              <w:spacing w:after="0" w:line="196" w:lineRule="exact"/>
              <w:rPr>
                <w:sz w:val="20"/>
                <w:szCs w:val="20"/>
                <w:color w:val="auto"/>
              </w:rPr>
            </w:pPr>
            <w:r>
              <w:rPr>
                <w:rFonts w:ascii="Arial" w:cs="Arial" w:eastAsia="Arial" w:hAnsi="Arial"/>
                <w:sz w:val="20"/>
                <w:szCs w:val="20"/>
                <w:b w:val="1"/>
                <w:bCs w:val="1"/>
                <w:color w:val="auto"/>
              </w:rPr>
              <w:t>$</w:t>
            </w:r>
          </w:p>
        </w:tc>
        <w:tc>
          <w:tcPr>
            <w:tcW w:w="1000" w:type="dxa"/>
            <w:vAlign w:val="bottom"/>
            <w:gridSpan w:val="3"/>
            <w:shd w:val="clear" w:color="auto" w:fill="CFF0FC"/>
          </w:tcPr>
          <w:p>
            <w:pPr>
              <w:jc w:val="right"/>
              <w:ind w:right="1"/>
              <w:spacing w:after="0" w:line="196" w:lineRule="exact"/>
              <w:rPr>
                <w:sz w:val="20"/>
                <w:szCs w:val="20"/>
                <w:color w:val="auto"/>
              </w:rPr>
            </w:pPr>
            <w:r>
              <w:rPr>
                <w:rFonts w:ascii="Arial" w:cs="Arial" w:eastAsia="Arial" w:hAnsi="Arial"/>
                <w:sz w:val="20"/>
                <w:szCs w:val="20"/>
                <w:b w:val="1"/>
                <w:bCs w:val="1"/>
                <w:color w:val="auto"/>
              </w:rPr>
              <w:t>0.58</w:t>
            </w:r>
          </w:p>
        </w:tc>
        <w:tc>
          <w:tcPr>
            <w:tcW w:w="3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20"/>
                <w:szCs w:val="20"/>
                <w:b w:val="1"/>
                <w:bCs w:val="1"/>
                <w:color w:val="auto"/>
              </w:rPr>
              <w:t>$</w:t>
            </w:r>
          </w:p>
        </w:tc>
        <w:tc>
          <w:tcPr>
            <w:tcW w:w="960" w:type="dxa"/>
            <w:vAlign w:val="bottom"/>
            <w:tcBorders>
              <w:right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20"/>
                <w:szCs w:val="20"/>
                <w:b w:val="1"/>
                <w:bCs w:val="1"/>
                <w:color w:val="auto"/>
              </w:rPr>
              <w:t>0.56</w:t>
            </w:r>
          </w:p>
        </w:tc>
        <w:tc>
          <w:tcPr>
            <w:tcW w:w="0" w:type="dxa"/>
            <w:vAlign w:val="bottom"/>
          </w:tcPr>
          <w:p>
            <w:pPr>
              <w:spacing w:after="0"/>
              <w:rPr>
                <w:sz w:val="1"/>
                <w:szCs w:val="1"/>
                <w:color w:val="auto"/>
              </w:rPr>
            </w:pPr>
          </w:p>
        </w:tc>
      </w:tr>
      <w:tr>
        <w:trPr>
          <w:trHeight w:val="203"/>
        </w:trPr>
        <w:tc>
          <w:tcPr>
            <w:tcW w:w="4260" w:type="dxa"/>
            <w:vAlign w:val="bottom"/>
            <w:tcBorders>
              <w:left w:val="single" w:sz="8" w:color="auto"/>
              <w:bottom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Adjused diluted earnings per share</w:t>
            </w:r>
          </w:p>
        </w:tc>
        <w:tc>
          <w:tcPr>
            <w:tcW w:w="1000" w:type="dxa"/>
            <w:vAlign w:val="bottom"/>
            <w:tcBorders>
              <w:bottom w:val="single" w:sz="8" w:color="auto"/>
            </w:tcBorders>
            <w:gridSpan w:val="2"/>
          </w:tcPr>
          <w:p>
            <w:pPr>
              <w:ind w:left="840"/>
              <w:spacing w:after="0" w:line="20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3"/>
          </w:tcPr>
          <w:p>
            <w:pPr>
              <w:jc w:val="right"/>
              <w:ind w:right="1"/>
              <w:spacing w:after="0" w:line="203" w:lineRule="exact"/>
              <w:rPr>
                <w:sz w:val="20"/>
                <w:szCs w:val="20"/>
                <w:color w:val="auto"/>
              </w:rPr>
            </w:pPr>
            <w:r>
              <w:rPr>
                <w:rFonts w:ascii="Arial" w:cs="Arial" w:eastAsia="Arial" w:hAnsi="Arial"/>
                <w:sz w:val="20"/>
                <w:szCs w:val="20"/>
                <w:color w:val="auto"/>
              </w:rPr>
              <w:t>0.59</w:t>
            </w:r>
          </w:p>
        </w:tc>
        <w:tc>
          <w:tcPr>
            <w:tcW w:w="360" w:type="dxa"/>
            <w:vAlign w:val="bottom"/>
            <w:tcBorders>
              <w:bottom w:val="single" w:sz="8" w:color="auto"/>
            </w:tcBorders>
            <w:gridSpan w:val="2"/>
          </w:tcPr>
          <w:p>
            <w:pPr>
              <w:ind w:left="120"/>
              <w:spacing w:after="0" w:line="20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20"/>
                <w:szCs w:val="20"/>
                <w:color w:val="auto"/>
              </w:rPr>
              <w:t>0.60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 Income tax effect calculated using the effective tax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b w:val="1"/>
          <w:bCs w:val="1"/>
          <w:color w:val="auto"/>
        </w:rPr>
        <w:t>Reconciliation of GAAP Net Income to EBITDA and Adjusted EBITDA</w:t>
      </w:r>
    </w:p>
    <w:p>
      <w:pPr>
        <w:spacing w:after="0" w:line="202" w:lineRule="exact"/>
        <w:rPr>
          <w:sz w:val="20"/>
          <w:szCs w:val="20"/>
          <w:color w:val="auto"/>
        </w:rPr>
      </w:pPr>
    </w:p>
    <w:tbl>
      <w:tblPr>
        <w:tblLayout w:type="fixed"/>
        <w:tblInd w:w="73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60" w:type="dxa"/>
            <w:vAlign w:val="bottom"/>
            <w:tcBorders>
              <w:top w:val="single" w:sz="8" w:color="auto"/>
              <w:right w:val="single" w:sz="8" w:color="auto"/>
            </w:tcBorders>
            <w:gridSpan w:val="5"/>
          </w:tcPr>
          <w:p>
            <w:pPr>
              <w:jc w:val="right"/>
              <w:ind w:right="121"/>
              <w:spacing w:after="0" w:line="183" w:lineRule="exact"/>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253"/>
        </w:trPr>
        <w:tc>
          <w:tcPr>
            <w:tcW w:w="14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7"/>
              </w:rPr>
              <w:t>TREX COMPANY, INC.</w:t>
            </w:r>
          </w:p>
        </w:tc>
        <w:tc>
          <w:tcPr>
            <w:tcW w:w="1620" w:type="dxa"/>
            <w:vAlign w:val="bottom"/>
            <w:gridSpan w:val="2"/>
            <w:vMerge w:val="restart"/>
          </w:tcPr>
          <w:p>
            <w:pPr>
              <w:spacing w:after="0"/>
              <w:rPr>
                <w:sz w:val="22"/>
                <w:szCs w:val="22"/>
                <w:color w:val="auto"/>
              </w:rPr>
            </w:pPr>
          </w:p>
        </w:tc>
        <w:tc>
          <w:tcPr>
            <w:tcW w:w="2360" w:type="dxa"/>
            <w:vAlign w:val="bottom"/>
            <w:tcBorders>
              <w:bottom w:val="single" w:sz="8" w:color="auto"/>
              <w:right w:val="single" w:sz="8" w:color="auto"/>
            </w:tcBorders>
            <w:gridSpan w:val="5"/>
          </w:tcPr>
          <w:p>
            <w:pPr>
              <w:jc w:val="right"/>
              <w:ind w:right="64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190"/>
        </w:trPr>
        <w:tc>
          <w:tcPr>
            <w:tcW w:w="14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00" w:type="dxa"/>
            <w:vAlign w:val="bottom"/>
            <w:tcBorders>
              <w:bottom w:val="single" w:sz="8" w:color="auto"/>
            </w:tcBorders>
          </w:tcPr>
          <w:p>
            <w:pPr>
              <w:jc w:val="right"/>
              <w:ind w:right="142"/>
              <w:spacing w:after="0" w:line="183" w:lineRule="exact"/>
              <w:rPr>
                <w:sz w:val="20"/>
                <w:szCs w:val="20"/>
                <w:color w:val="auto"/>
              </w:rPr>
            </w:pPr>
            <w:r>
              <w:rPr>
                <w:rFonts w:ascii="Arial" w:cs="Arial" w:eastAsia="Arial" w:hAnsi="Arial"/>
                <w:sz w:val="20"/>
                <w:szCs w:val="20"/>
                <w:b w:val="1"/>
                <w:bCs w:val="1"/>
                <w:color w:val="auto"/>
              </w:rPr>
              <w:t>2026</w:t>
            </w:r>
          </w:p>
        </w:tc>
        <w:tc>
          <w:tcPr>
            <w:tcW w:w="12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120" w:type="dxa"/>
            <w:vAlign w:val="bottom"/>
            <w:tcBorders>
              <w:bottom w:val="single" w:sz="8" w:color="auto"/>
              <w:right w:val="single" w:sz="8" w:color="auto"/>
            </w:tcBorders>
          </w:tcPr>
          <w:p>
            <w:pPr>
              <w:jc w:val="right"/>
              <w:ind w:right="261"/>
              <w:spacing w:after="0" w:line="183" w:lineRule="exact"/>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1"/>
              <w:spacing w:after="0" w:line="203" w:lineRule="exact"/>
              <w:rPr>
                <w:sz w:val="20"/>
                <w:szCs w:val="20"/>
                <w:color w:val="auto"/>
              </w:rPr>
            </w:pPr>
            <w:r>
              <w:rPr>
                <w:rFonts w:ascii="Arial" w:cs="Arial" w:eastAsia="Arial" w:hAnsi="Arial"/>
                <w:sz w:val="20"/>
                <w:szCs w:val="20"/>
                <w:i w:val="1"/>
                <w:iCs w:val="1"/>
                <w:color w:val="auto"/>
              </w:rPr>
              <w:t>($ in</w:t>
            </w:r>
          </w:p>
        </w:tc>
        <w:tc>
          <w:tcPr>
            <w:tcW w:w="1240" w:type="dxa"/>
            <w:vAlign w:val="bottom"/>
            <w:tcBorders>
              <w:right w:val="single" w:sz="8" w:color="auto"/>
            </w:tcBorders>
            <w:gridSpan w:val="3"/>
          </w:tcPr>
          <w:p>
            <w:pPr>
              <w:jc w:val="right"/>
              <w:ind w:right="401"/>
              <w:spacing w:after="0" w:line="203" w:lineRule="exact"/>
              <w:rPr>
                <w:sz w:val="20"/>
                <w:szCs w:val="20"/>
                <w:color w:val="auto"/>
              </w:rPr>
            </w:pPr>
            <w:r>
              <w:rPr>
                <w:rFonts w:ascii="Arial" w:cs="Arial" w:eastAsia="Arial" w:hAnsi="Arial"/>
                <w:sz w:val="20"/>
                <w:szCs w:val="20"/>
                <w:i w:val="1"/>
                <w:iCs w:val="1"/>
                <w:color w:val="auto"/>
                <w:w w:val="72"/>
              </w:rPr>
              <w:t>thousands)</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b w:val="1"/>
                <w:bCs w:val="1"/>
                <w:color w:val="auto"/>
              </w:rPr>
              <w:t>Net Income</w:t>
            </w:r>
          </w:p>
        </w:tc>
        <w:tc>
          <w:tcPr>
            <w:tcW w:w="11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rPr>
              <w:t>$61,403</w:t>
            </w:r>
          </w:p>
        </w:tc>
        <w:tc>
          <w:tcPr>
            <w:tcW w:w="1240" w:type="dxa"/>
            <w:vAlign w:val="bottom"/>
            <w:tcBorders>
              <w:right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rPr>
              <w:t>$60,434</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Interest expense, net</w:t>
            </w:r>
          </w:p>
        </w:tc>
        <w:tc>
          <w:tcPr>
            <w:tcW w:w="1120" w:type="dxa"/>
            <w:vAlign w:val="bottom"/>
            <w:gridSpan w:val="2"/>
          </w:tcPr>
          <w:p>
            <w:pPr>
              <w:jc w:val="right"/>
              <w:spacing w:after="0" w:line="203" w:lineRule="exact"/>
              <w:rPr>
                <w:sz w:val="20"/>
                <w:szCs w:val="20"/>
                <w:color w:val="auto"/>
              </w:rPr>
            </w:pPr>
            <w:r>
              <w:rPr>
                <w:rFonts w:ascii="Arial" w:cs="Arial" w:eastAsia="Arial" w:hAnsi="Arial"/>
                <w:sz w:val="20"/>
                <w:szCs w:val="20"/>
                <w:color w:val="auto"/>
              </w:rPr>
              <w:t>—</w:t>
            </w:r>
          </w:p>
        </w:tc>
        <w:tc>
          <w:tcPr>
            <w:tcW w:w="1240" w:type="dxa"/>
            <w:vAlign w:val="bottom"/>
            <w:tcBorders>
              <w:right w:val="single" w:sz="8" w:color="auto"/>
            </w:tcBorders>
            <w:gridSpan w:val="3"/>
          </w:tcPr>
          <w:p>
            <w:pPr>
              <w:jc w:val="right"/>
              <w:spacing w:after="0" w:line="203"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color w:val="auto"/>
              </w:rPr>
              <w:t>Income tax expense</w:t>
            </w:r>
          </w:p>
        </w:tc>
        <w:tc>
          <w:tcPr>
            <w:tcW w:w="11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20"/>
                <w:szCs w:val="20"/>
                <w:color w:val="auto"/>
              </w:rPr>
              <w:t>22,102</w:t>
            </w:r>
          </w:p>
        </w:tc>
        <w:tc>
          <w:tcPr>
            <w:tcW w:w="1240" w:type="dxa"/>
            <w:vAlign w:val="bottom"/>
            <w:tcBorders>
              <w:right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20"/>
                <w:szCs w:val="20"/>
                <w:color w:val="auto"/>
              </w:rPr>
              <w:t>21,153</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Depreciation and amortization</w:t>
            </w: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rPr>
              <w:t>18,371</w:t>
            </w:r>
          </w:p>
        </w:tc>
        <w:tc>
          <w:tcPr>
            <w:tcW w:w="1240" w:type="dxa"/>
            <w:vAlign w:val="bottom"/>
            <w:tcBorders>
              <w:bottom w:val="single" w:sz="8" w:color="auto"/>
              <w:right w:val="single" w:sz="8" w:color="auto"/>
            </w:tcBorders>
            <w:gridSpan w:val="3"/>
          </w:tcPr>
          <w:p>
            <w:pPr>
              <w:jc w:val="right"/>
              <w:spacing w:after="0" w:line="203" w:lineRule="exact"/>
              <w:rPr>
                <w:sz w:val="20"/>
                <w:szCs w:val="20"/>
                <w:color w:val="auto"/>
              </w:rPr>
            </w:pPr>
            <w:r>
              <w:rPr>
                <w:rFonts w:ascii="Arial" w:cs="Arial" w:eastAsia="Arial" w:hAnsi="Arial"/>
                <w:sz w:val="20"/>
                <w:szCs w:val="20"/>
                <w:color w:val="auto"/>
              </w:rPr>
              <w:t>14,249</w:t>
            </w:r>
          </w:p>
        </w:tc>
        <w:tc>
          <w:tcPr>
            <w:tcW w:w="0" w:type="dxa"/>
            <w:vAlign w:val="bottom"/>
          </w:tcPr>
          <w:p>
            <w:pPr>
              <w:spacing w:after="0"/>
              <w:rPr>
                <w:sz w:val="1"/>
                <w:szCs w:val="1"/>
                <w:color w:val="auto"/>
              </w:rPr>
            </w:pPr>
          </w:p>
        </w:tc>
      </w:tr>
      <w:tr>
        <w:trPr>
          <w:trHeight w:val="196"/>
        </w:trPr>
        <w:tc>
          <w:tcPr>
            <w:tcW w:w="5220" w:type="dxa"/>
            <w:vAlign w:val="bottom"/>
            <w:tcBorders>
              <w:left w:val="single" w:sz="8" w:color="auto"/>
              <w:bottom w:val="single" w:sz="8" w:color="CFF0FC"/>
            </w:tcBorders>
            <w:gridSpan w:val="6"/>
            <w:shd w:val="clear" w:color="auto" w:fill="CFF0FC"/>
          </w:tcPr>
          <w:p>
            <w:pPr>
              <w:ind w:left="20"/>
              <w:spacing w:after="0" w:line="196" w:lineRule="exact"/>
              <w:rPr>
                <w:sz w:val="20"/>
                <w:szCs w:val="20"/>
                <w:color w:val="auto"/>
              </w:rPr>
            </w:pPr>
            <w:r>
              <w:rPr>
                <w:rFonts w:ascii="Arial" w:cs="Arial" w:eastAsia="Arial" w:hAnsi="Arial"/>
                <w:sz w:val="20"/>
                <w:szCs w:val="20"/>
                <w:color w:val="auto"/>
              </w:rPr>
              <w:t>EBITDA</w:t>
            </w:r>
          </w:p>
        </w:tc>
        <w:tc>
          <w:tcPr>
            <w:tcW w:w="11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$101,876</w:t>
            </w:r>
          </w:p>
        </w:tc>
        <w:tc>
          <w:tcPr>
            <w:tcW w:w="1240" w:type="dxa"/>
            <w:vAlign w:val="bottom"/>
            <w:tcBorders>
              <w:bottom w:val="single" w:sz="8" w:color="auto"/>
              <w:right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20"/>
                <w:szCs w:val="20"/>
                <w:color w:val="auto"/>
              </w:rPr>
              <w:t>$95,912</w:t>
            </w:r>
          </w:p>
        </w:tc>
        <w:tc>
          <w:tcPr>
            <w:tcW w:w="0" w:type="dxa"/>
            <w:vAlign w:val="bottom"/>
          </w:tcPr>
          <w:p>
            <w:pPr>
              <w:spacing w:after="0"/>
              <w:rPr>
                <w:sz w:val="1"/>
                <w:szCs w:val="1"/>
                <w:color w:val="auto"/>
              </w:rPr>
            </w:pPr>
          </w:p>
        </w:tc>
      </w:tr>
      <w:tr>
        <w:trPr>
          <w:trHeight w:val="196"/>
        </w:trPr>
        <w:tc>
          <w:tcPr>
            <w:tcW w:w="5220" w:type="dxa"/>
            <w:vAlign w:val="bottom"/>
            <w:tcBorders>
              <w:left w:val="single" w:sz="8" w:color="auto"/>
            </w:tcBorders>
            <w:gridSpan w:val="6"/>
          </w:tcPr>
          <w:p>
            <w:pPr>
              <w:ind w:left="20"/>
              <w:spacing w:after="0" w:line="196" w:lineRule="exact"/>
              <w:rPr>
                <w:sz w:val="20"/>
                <w:szCs w:val="20"/>
                <w:color w:val="auto"/>
              </w:rPr>
            </w:pPr>
            <w:r>
              <w:rPr>
                <w:rFonts w:ascii="Arial" w:cs="Arial" w:eastAsia="Arial" w:hAnsi="Arial"/>
                <w:sz w:val="20"/>
                <w:szCs w:val="20"/>
                <w:color w:val="auto"/>
              </w:rPr>
              <w:t>Railing conversion</w:t>
            </w:r>
          </w:p>
        </w:tc>
        <w:tc>
          <w:tcPr>
            <w:tcW w:w="112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w:t>
            </w:r>
          </w:p>
        </w:tc>
        <w:tc>
          <w:tcPr>
            <w:tcW w:w="1240" w:type="dxa"/>
            <w:vAlign w:val="bottom"/>
            <w:tcBorders>
              <w:right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rPr>
              <w:t>3,826</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color w:val="auto"/>
              </w:rPr>
              <w:t>Digital transformation</w:t>
            </w:r>
          </w:p>
        </w:tc>
        <w:tc>
          <w:tcPr>
            <w:tcW w:w="11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20"/>
                <w:szCs w:val="20"/>
                <w:color w:val="auto"/>
              </w:rPr>
              <w:t>1,014</w:t>
            </w:r>
          </w:p>
        </w:tc>
        <w:tc>
          <w:tcPr>
            <w:tcW w:w="1240" w:type="dxa"/>
            <w:vAlign w:val="bottom"/>
            <w:tcBorders>
              <w:right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20"/>
                <w:szCs w:val="20"/>
                <w:color w:val="auto"/>
              </w:rPr>
              <w:t>452</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Arkansas start up</w:t>
            </w: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20"/>
                <w:szCs w:val="20"/>
                <w:color w:val="auto"/>
              </w:rPr>
              <w:t>226</w:t>
            </w:r>
          </w:p>
        </w:tc>
        <w:tc>
          <w:tcPr>
            <w:tcW w:w="1240" w:type="dxa"/>
            <w:vAlign w:val="bottom"/>
            <w:tcBorders>
              <w:bottom w:val="single" w:sz="8" w:color="auto"/>
              <w:right w:val="single" w:sz="8" w:color="auto"/>
            </w:tcBorders>
            <w:gridSpan w:val="3"/>
          </w:tcPr>
          <w:p>
            <w:pPr>
              <w:jc w:val="right"/>
              <w:spacing w:after="0" w:line="203" w:lineRule="exact"/>
              <w:rPr>
                <w:sz w:val="20"/>
                <w:szCs w:val="20"/>
                <w:color w:val="auto"/>
              </w:rPr>
            </w:pPr>
            <w:r>
              <w:rPr>
                <w:rFonts w:ascii="Arial" w:cs="Arial" w:eastAsia="Arial" w:hAnsi="Arial"/>
                <w:sz w:val="20"/>
                <w:szCs w:val="20"/>
                <w:color w:val="auto"/>
              </w:rPr>
              <w:t>1,085</w:t>
            </w:r>
          </w:p>
        </w:tc>
        <w:tc>
          <w:tcPr>
            <w:tcW w:w="0" w:type="dxa"/>
            <w:vAlign w:val="bottom"/>
          </w:tcPr>
          <w:p>
            <w:pPr>
              <w:spacing w:after="0"/>
              <w:rPr>
                <w:sz w:val="1"/>
                <w:szCs w:val="1"/>
                <w:color w:val="auto"/>
              </w:rPr>
            </w:pPr>
          </w:p>
        </w:tc>
      </w:tr>
      <w:tr>
        <w:trPr>
          <w:trHeight w:val="196"/>
        </w:trPr>
        <w:tc>
          <w:tcPr>
            <w:tcW w:w="5220" w:type="dxa"/>
            <w:vAlign w:val="bottom"/>
            <w:tcBorders>
              <w:left w:val="single" w:sz="8" w:color="auto"/>
              <w:bottom w:val="single" w:sz="8" w:color="auto"/>
            </w:tcBorders>
            <w:gridSpan w:val="6"/>
            <w:shd w:val="clear" w:color="auto" w:fill="CFF0FC"/>
          </w:tcPr>
          <w:p>
            <w:pPr>
              <w:ind w:left="20"/>
              <w:spacing w:after="0" w:line="196" w:lineRule="exact"/>
              <w:rPr>
                <w:sz w:val="20"/>
                <w:szCs w:val="20"/>
                <w:color w:val="auto"/>
              </w:rPr>
            </w:pPr>
            <w:r>
              <w:rPr>
                <w:rFonts w:ascii="Arial" w:cs="Arial" w:eastAsia="Arial" w:hAnsi="Arial"/>
                <w:sz w:val="20"/>
                <w:szCs w:val="20"/>
                <w:color w:val="auto"/>
              </w:rPr>
              <w:t>Adjusted EBITDA</w:t>
            </w:r>
          </w:p>
        </w:tc>
        <w:tc>
          <w:tcPr>
            <w:tcW w:w="11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$103,116</w:t>
            </w:r>
          </w:p>
        </w:tc>
        <w:tc>
          <w:tcPr>
            <w:tcW w:w="1240" w:type="dxa"/>
            <w:vAlign w:val="bottom"/>
            <w:tcBorders>
              <w:bottom w:val="single" w:sz="8" w:color="auto"/>
              <w:right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20"/>
                <w:szCs w:val="20"/>
                <w:color w:val="auto"/>
              </w:rPr>
              <w:t>$101,275</w:t>
            </w:r>
          </w:p>
        </w:tc>
        <w:tc>
          <w:tcPr>
            <w:tcW w:w="0" w:type="dxa"/>
            <w:vAlign w:val="bottom"/>
          </w:tcPr>
          <w:p>
            <w:pPr>
              <w:spacing w:after="0"/>
              <w:rPr>
                <w:sz w:val="1"/>
                <w:szCs w:val="1"/>
                <w:color w:val="auto"/>
              </w:rPr>
            </w:pPr>
          </w:p>
        </w:tc>
      </w:tr>
      <w:tr>
        <w:trPr>
          <w:trHeight w:val="459"/>
        </w:trPr>
        <w:tc>
          <w:tcPr>
            <w:tcW w:w="7580" w:type="dxa"/>
            <w:vAlign w:val="bottom"/>
            <w:gridSpan w:val="11"/>
          </w:tcPr>
          <w:p>
            <w:pPr>
              <w:jc w:val="right"/>
              <w:ind w:right="641"/>
              <w:spacing w:after="0"/>
              <w:rPr>
                <w:sz w:val="20"/>
                <w:szCs w:val="20"/>
                <w:color w:val="auto"/>
              </w:rPr>
            </w:pPr>
            <w:r>
              <w:rPr>
                <w:rFonts w:ascii="Arial" w:cs="Arial" w:eastAsia="Arial" w:hAnsi="Arial"/>
                <w:sz w:val="20"/>
                <w:szCs w:val="20"/>
                <w:b w:val="1"/>
                <w:bCs w:val="1"/>
                <w:color w:val="auto"/>
              </w:rPr>
              <w:t>Reconciliation of GAAP Cash from Operations to Free Cash Flow</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2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tcBorders>
              <w:right w:val="single" w:sz="8" w:color="auto"/>
            </w:tcBorders>
            <w:gridSpan w:val="5"/>
          </w:tcPr>
          <w:p>
            <w:pPr>
              <w:jc w:val="right"/>
              <w:ind w:right="201"/>
              <w:spacing w:after="0" w:line="159"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7"/>
        </w:trPr>
        <w:tc>
          <w:tcPr>
            <w:tcW w:w="1420" w:type="dxa"/>
            <w:vAlign w:val="bottom"/>
            <w:tcBorders>
              <w:left w:val="single" w:sz="8" w:color="auto"/>
            </w:tcBorders>
          </w:tcPr>
          <w:p>
            <w:pPr>
              <w:spacing w:after="0"/>
              <w:rPr>
                <w:sz w:val="21"/>
                <w:szCs w:val="21"/>
                <w:color w:val="auto"/>
              </w:rPr>
            </w:pPr>
          </w:p>
        </w:tc>
        <w:tc>
          <w:tcPr>
            <w:tcW w:w="3800" w:type="dxa"/>
            <w:vAlign w:val="bottom"/>
            <w:gridSpan w:val="5"/>
          </w:tcPr>
          <w:p>
            <w:pPr>
              <w:spacing w:after="0"/>
              <w:rPr>
                <w:sz w:val="20"/>
                <w:szCs w:val="20"/>
                <w:color w:val="auto"/>
              </w:rPr>
            </w:pPr>
            <w:r>
              <w:rPr>
                <w:rFonts w:ascii="Arial" w:cs="Arial" w:eastAsia="Arial" w:hAnsi="Arial"/>
                <w:sz w:val="20"/>
                <w:szCs w:val="20"/>
                <w:b w:val="1"/>
                <w:bCs w:val="1"/>
                <w:color w:val="auto"/>
              </w:rPr>
              <w:t>TREX COMPANY, INC.</w:t>
            </w:r>
          </w:p>
        </w:tc>
        <w:tc>
          <w:tcPr>
            <w:tcW w:w="2360" w:type="dxa"/>
            <w:vAlign w:val="bottom"/>
            <w:tcBorders>
              <w:right w:val="single" w:sz="8" w:color="auto"/>
            </w:tcBorders>
            <w:gridSpan w:val="5"/>
          </w:tcPr>
          <w:p>
            <w:pPr>
              <w:jc w:val="right"/>
              <w:ind w:right="72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82"/>
              <w:spacing w:after="0" w:line="203" w:lineRule="exact"/>
              <w:rPr>
                <w:sz w:val="20"/>
                <w:szCs w:val="20"/>
                <w:color w:val="auto"/>
              </w:rPr>
            </w:pPr>
            <w:r>
              <w:rPr>
                <w:rFonts w:ascii="Arial" w:cs="Arial" w:eastAsia="Arial" w:hAnsi="Arial"/>
                <w:sz w:val="20"/>
                <w:szCs w:val="20"/>
                <w:b w:val="1"/>
                <w:bCs w:val="1"/>
                <w:color w:val="auto"/>
              </w:rPr>
              <w:t>2026</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right w:val="single" w:sz="8" w:color="auto"/>
            </w:tcBorders>
            <w:gridSpan w:val="2"/>
          </w:tcPr>
          <w:p>
            <w:pPr>
              <w:jc w:val="right"/>
              <w:ind w:right="281"/>
              <w:spacing w:after="0" w:line="203" w:lineRule="exact"/>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196"/>
        </w:trPr>
        <w:tc>
          <w:tcPr>
            <w:tcW w:w="14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42"/>
              <w:spacing w:after="0" w:line="196" w:lineRule="exact"/>
              <w:rPr>
                <w:sz w:val="20"/>
                <w:szCs w:val="20"/>
                <w:color w:val="auto"/>
              </w:rPr>
            </w:pPr>
            <w:r>
              <w:rPr>
                <w:rFonts w:ascii="Arial" w:cs="Arial" w:eastAsia="Arial" w:hAnsi="Arial"/>
                <w:sz w:val="20"/>
                <w:szCs w:val="20"/>
                <w:i w:val="1"/>
                <w:iCs w:val="1"/>
                <w:color w:val="auto"/>
              </w:rPr>
              <w:t>($ in</w:t>
            </w:r>
          </w:p>
        </w:tc>
        <w:tc>
          <w:tcPr>
            <w:tcW w:w="1360" w:type="dxa"/>
            <w:vAlign w:val="bottom"/>
            <w:tcBorders>
              <w:right w:val="single" w:sz="8" w:color="auto"/>
            </w:tcBorders>
            <w:gridSpan w:val="4"/>
          </w:tcPr>
          <w:p>
            <w:pPr>
              <w:jc w:val="right"/>
              <w:ind w:right="481"/>
              <w:spacing w:after="0" w:line="196" w:lineRule="exact"/>
              <w:rPr>
                <w:sz w:val="20"/>
                <w:szCs w:val="20"/>
                <w:color w:val="auto"/>
              </w:rPr>
            </w:pPr>
            <w:r>
              <w:rPr>
                <w:rFonts w:ascii="Arial" w:cs="Arial" w:eastAsia="Arial" w:hAnsi="Arial"/>
                <w:sz w:val="20"/>
                <w:szCs w:val="20"/>
                <w:i w:val="1"/>
                <w:iCs w:val="1"/>
                <w:color w:val="auto"/>
                <w:w w:val="76"/>
              </w:rPr>
              <w:t>thousands)</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shd w:val="clear" w:color="auto" w:fill="CFF0FC"/>
          </w:tcPr>
          <w:p>
            <w:pPr>
              <w:ind w:left="20"/>
              <w:spacing w:after="0" w:line="203" w:lineRule="exact"/>
              <w:rPr>
                <w:sz w:val="20"/>
                <w:szCs w:val="20"/>
                <w:color w:val="auto"/>
              </w:rPr>
            </w:pPr>
            <w:r>
              <w:rPr>
                <w:rFonts w:ascii="Arial" w:cs="Arial" w:eastAsia="Arial" w:hAnsi="Arial"/>
                <w:sz w:val="20"/>
                <w:szCs w:val="20"/>
                <w:b w:val="1"/>
                <w:bCs w:val="1"/>
                <w:color w:val="auto"/>
              </w:rPr>
              <w:t>Net cash (used in) operating activities</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w w:val="99"/>
              </w:rPr>
              <w:t>$(118,425)</w:t>
            </w:r>
          </w:p>
        </w:tc>
        <w:tc>
          <w:tcPr>
            <w:tcW w:w="120" w:type="dxa"/>
            <w:vAlign w:val="bottom"/>
            <w:shd w:val="clear" w:color="auto" w:fill="CFF0FC"/>
          </w:tcPr>
          <w:p>
            <w:pPr>
              <w:spacing w:after="0"/>
              <w:rPr>
                <w:sz w:val="17"/>
                <w:szCs w:val="17"/>
                <w:color w:val="auto"/>
              </w:rPr>
            </w:pPr>
          </w:p>
        </w:tc>
        <w:tc>
          <w:tcPr>
            <w:tcW w:w="1240" w:type="dxa"/>
            <w:vAlign w:val="bottom"/>
            <w:tcBorders>
              <w:right w:val="single" w:sz="8" w:color="auto"/>
            </w:tcBorders>
            <w:gridSpan w:val="3"/>
            <w:shd w:val="clear" w:color="auto" w:fill="CFF0FC"/>
          </w:tcPr>
          <w:p>
            <w:pPr>
              <w:jc w:val="right"/>
              <w:spacing w:after="0" w:line="203" w:lineRule="exact"/>
              <w:rPr>
                <w:sz w:val="20"/>
                <w:szCs w:val="20"/>
                <w:color w:val="auto"/>
              </w:rPr>
            </w:pPr>
            <w:r>
              <w:rPr>
                <w:rFonts w:ascii="Arial" w:cs="Arial" w:eastAsia="Arial" w:hAnsi="Arial"/>
                <w:sz w:val="20"/>
                <w:szCs w:val="20"/>
                <w:b w:val="1"/>
                <w:bCs w:val="1"/>
                <w:color w:val="auto"/>
              </w:rPr>
              <w:t>$(154,013)</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tcBorders>
            <w:gridSpan w:val="6"/>
          </w:tcPr>
          <w:p>
            <w:pPr>
              <w:ind w:left="20"/>
              <w:spacing w:after="0" w:line="203" w:lineRule="exact"/>
              <w:rPr>
                <w:sz w:val="20"/>
                <w:szCs w:val="20"/>
                <w:color w:val="auto"/>
              </w:rPr>
            </w:pPr>
            <w:r>
              <w:rPr>
                <w:rFonts w:ascii="Arial" w:cs="Arial" w:eastAsia="Arial" w:hAnsi="Arial"/>
                <w:sz w:val="20"/>
                <w:szCs w:val="20"/>
                <w:color w:val="auto"/>
              </w:rPr>
              <w:t>Expenditures for property, plant, and equipment</w:t>
            </w: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auto"/>
              </w:rPr>
              <w:t>(23,105)</w:t>
            </w:r>
          </w:p>
        </w:tc>
        <w:tc>
          <w:tcPr>
            <w:tcW w:w="120" w:type="dxa"/>
            <w:vAlign w:val="bottom"/>
          </w:tcPr>
          <w:p>
            <w:pPr>
              <w:spacing w:after="0"/>
              <w:rPr>
                <w:sz w:val="17"/>
                <w:szCs w:val="17"/>
                <w:color w:val="auto"/>
              </w:rPr>
            </w:pPr>
          </w:p>
        </w:tc>
        <w:tc>
          <w:tcPr>
            <w:tcW w:w="1240" w:type="dxa"/>
            <w:vAlign w:val="bottom"/>
            <w:tcBorders>
              <w:right w:val="single" w:sz="8" w:color="auto"/>
            </w:tcBorders>
            <w:gridSpan w:val="3"/>
          </w:tcPr>
          <w:p>
            <w:pPr>
              <w:jc w:val="right"/>
              <w:spacing w:after="0" w:line="203" w:lineRule="exact"/>
              <w:rPr>
                <w:sz w:val="20"/>
                <w:szCs w:val="20"/>
                <w:color w:val="auto"/>
              </w:rPr>
            </w:pPr>
            <w:r>
              <w:rPr>
                <w:rFonts w:ascii="Arial" w:cs="Arial" w:eastAsia="Arial" w:hAnsi="Arial"/>
                <w:sz w:val="20"/>
                <w:szCs w:val="20"/>
                <w:color w:val="auto"/>
              </w:rPr>
              <w:t>(79,486)</w:t>
            </w:r>
          </w:p>
        </w:tc>
        <w:tc>
          <w:tcPr>
            <w:tcW w:w="0" w:type="dxa"/>
            <w:vAlign w:val="bottom"/>
          </w:tcPr>
          <w:p>
            <w:pPr>
              <w:spacing w:after="0"/>
              <w:rPr>
                <w:sz w:val="1"/>
                <w:szCs w:val="1"/>
                <w:color w:val="auto"/>
              </w:rPr>
            </w:pPr>
          </w:p>
        </w:tc>
      </w:tr>
      <w:tr>
        <w:trPr>
          <w:trHeight w:val="202"/>
        </w:trPr>
        <w:tc>
          <w:tcPr>
            <w:tcW w:w="5060" w:type="dxa"/>
            <w:vAlign w:val="bottom"/>
            <w:tcBorders>
              <w:left w:val="single" w:sz="8" w:color="auto"/>
              <w:bottom w:val="single" w:sz="8" w:color="CFF0FC"/>
            </w:tcBorders>
            <w:gridSpan w:val="5"/>
            <w:shd w:val="clear" w:color="auto" w:fill="CFF0FC"/>
          </w:tcPr>
          <w:p>
            <w:pPr>
              <w:ind w:left="20"/>
              <w:spacing w:after="0" w:line="203" w:lineRule="exact"/>
              <w:rPr>
                <w:sz w:val="20"/>
                <w:szCs w:val="20"/>
                <w:color w:val="auto"/>
              </w:rPr>
            </w:pPr>
            <w:r>
              <w:rPr>
                <w:rFonts w:ascii="Arial" w:cs="Arial" w:eastAsia="Arial" w:hAnsi="Arial"/>
                <w:sz w:val="20"/>
                <w:szCs w:val="20"/>
                <w:color w:val="auto"/>
              </w:rPr>
              <w:t>Purchased intangibles</w:t>
            </w: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20"/>
                <w:szCs w:val="20"/>
                <w:color w:val="auto"/>
              </w:rPr>
              <w:t>(1,852)</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20"/>
                <w:szCs w:val="20"/>
                <w:color w:val="auto"/>
              </w:rPr>
              <w:t>(635)</w:t>
            </w:r>
          </w:p>
        </w:tc>
        <w:tc>
          <w:tcPr>
            <w:tcW w:w="0" w:type="dxa"/>
            <w:vAlign w:val="bottom"/>
          </w:tcPr>
          <w:p>
            <w:pPr>
              <w:spacing w:after="0"/>
              <w:rPr>
                <w:sz w:val="1"/>
                <w:szCs w:val="1"/>
                <w:color w:val="auto"/>
              </w:rPr>
            </w:pPr>
          </w:p>
        </w:tc>
      </w:tr>
      <w:tr>
        <w:trPr>
          <w:trHeight w:val="196"/>
        </w:trPr>
        <w:tc>
          <w:tcPr>
            <w:tcW w:w="5220" w:type="dxa"/>
            <w:vAlign w:val="bottom"/>
            <w:tcBorders>
              <w:left w:val="single" w:sz="8" w:color="auto"/>
              <w:bottom w:val="single" w:sz="8" w:color="auto"/>
            </w:tcBorders>
            <w:gridSpan w:val="6"/>
          </w:tcPr>
          <w:p>
            <w:pPr>
              <w:ind w:left="20"/>
              <w:spacing w:after="0" w:line="196" w:lineRule="exact"/>
              <w:rPr>
                <w:sz w:val="20"/>
                <w:szCs w:val="20"/>
                <w:color w:val="auto"/>
              </w:rPr>
            </w:pPr>
            <w:r>
              <w:rPr>
                <w:rFonts w:ascii="Arial" w:cs="Arial" w:eastAsia="Arial" w:hAnsi="Arial"/>
                <w:sz w:val="20"/>
                <w:szCs w:val="20"/>
                <w:color w:val="auto"/>
              </w:rPr>
              <w:t>Free cash flow</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w w:val="99"/>
              </w:rPr>
              <w:t>$(143,382)</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gridSpan w:val="3"/>
          </w:tcPr>
          <w:p>
            <w:pPr>
              <w:jc w:val="right"/>
              <w:spacing w:after="0" w:line="196" w:lineRule="exact"/>
              <w:rPr>
                <w:sz w:val="20"/>
                <w:szCs w:val="20"/>
                <w:color w:val="auto"/>
              </w:rPr>
            </w:pPr>
            <w:r>
              <w:rPr>
                <w:rFonts w:ascii="Arial" w:cs="Arial" w:eastAsia="Arial" w:hAnsi="Arial"/>
                <w:sz w:val="20"/>
                <w:szCs w:val="20"/>
                <w:color w:val="auto"/>
              </w:rPr>
              <w:t>$(234,134)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-145415</wp:posOffset>
            </wp:positionV>
            <wp:extent cx="1117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0" w:name="page11"/>
    <w:bookmarkEnd w:id="10"/>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GAAP Financial Statement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3"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-130175</wp:posOffset>
            </wp:positionV>
            <wp:extent cx="5074920" cy="2957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74920" cy="2957195"/>
                    </a:xfrm>
                    <a:prstGeom prst="rect">
                      <a:avLst/>
                    </a:prstGeom>
                    <a:noFill/>
                  </pic:spPr>
                </pic:pic>
              </a:graphicData>
            </a:graphic>
          </wp:anchor>
        </w:drawing>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auto"/>
        </w:rPr>
        <w:t>Condensed Consolidated Statements of Comprehensive Income</w:t>
      </w:r>
    </w:p>
    <w:p>
      <w:pPr>
        <w:ind w:left="2240"/>
        <w:spacing w:after="0" w:line="225" w:lineRule="auto"/>
        <w:rPr>
          <w:sz w:val="20"/>
          <w:szCs w:val="20"/>
          <w:color w:val="auto"/>
        </w:rPr>
      </w:pPr>
      <w:r>
        <w:rPr>
          <w:rFonts w:ascii="Arial" w:cs="Arial" w:eastAsia="Arial" w:hAnsi="Arial"/>
          <w:sz w:val="20"/>
          <w:szCs w:val="20"/>
          <w:b w:val="1"/>
          <w:bCs w:val="1"/>
          <w:color w:val="auto"/>
        </w:rPr>
        <w:t>(In thousands, except share and per share data)</w:t>
      </w:r>
    </w:p>
    <w:p>
      <w:pPr>
        <w:ind w:left="6060"/>
        <w:spacing w:after="0" w:line="211" w:lineRule="auto"/>
        <w:rPr>
          <w:sz w:val="20"/>
          <w:szCs w:val="20"/>
          <w:color w:val="auto"/>
        </w:rPr>
      </w:pPr>
      <w:r>
        <w:rPr>
          <w:rFonts w:ascii="Arial" w:cs="Arial" w:eastAsia="Arial" w:hAnsi="Arial"/>
          <w:sz w:val="20"/>
          <w:szCs w:val="20"/>
          <w:b w:val="1"/>
          <w:bCs w:val="1"/>
          <w:color w:val="auto"/>
        </w:rPr>
        <w:t>Three Months Ended</w:t>
      </w:r>
    </w:p>
    <w:p>
      <w:pPr>
        <w:ind w:left="6580"/>
        <w:spacing w:after="0"/>
        <w:rPr>
          <w:sz w:val="20"/>
          <w:szCs w:val="20"/>
          <w:color w:val="auto"/>
        </w:rPr>
      </w:pPr>
      <w:r>
        <w:rPr>
          <w:rFonts w:ascii="Arial" w:cs="Arial" w:eastAsia="Arial" w:hAnsi="Arial"/>
          <w:sz w:val="20"/>
          <w:szCs w:val="20"/>
          <w:b w:val="1"/>
          <w:bCs w:val="1"/>
          <w:color w:val="auto"/>
        </w:rPr>
        <w:t>March 31,</w:t>
      </w:r>
    </w:p>
    <w:tbl>
      <w:tblPr>
        <w:tblLayout w:type="fixed"/>
        <w:tblInd w:w="500" w:type="dxa"/>
        <w:tblCellMar>
          <w:top w:w="0" w:type="dxa"/>
          <w:left w:w="0" w:type="dxa"/>
          <w:bottom w:w="0" w:type="dxa"/>
          <w:right w:w="0" w:type="dxa"/>
        </w:tblCellMar>
      </w:tblPr>
      <w:tr>
        <w:trPr>
          <w:trHeight w:val="200"/>
        </w:trPr>
        <w:tc>
          <w:tcPr>
            <w:tcW w:w="51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ind w:right="401"/>
              <w:spacing w:after="0" w:line="200" w:lineRule="exact"/>
              <w:rPr>
                <w:sz w:val="20"/>
                <w:szCs w:val="20"/>
                <w:color w:val="auto"/>
              </w:rPr>
            </w:pPr>
            <w:r>
              <w:rPr>
                <w:rFonts w:ascii="Arial" w:cs="Arial" w:eastAsia="Arial" w:hAnsi="Arial"/>
                <w:sz w:val="20"/>
                <w:szCs w:val="20"/>
                <w:b w:val="1"/>
                <w:bCs w:val="1"/>
                <w:color w:val="auto"/>
              </w:rPr>
              <w:t>2026</w:t>
            </w: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01"/>
              <w:spacing w:after="0" w:line="200" w:lineRule="exact"/>
              <w:rPr>
                <w:sz w:val="20"/>
                <w:szCs w:val="20"/>
                <w:color w:val="auto"/>
              </w:rPr>
            </w:pPr>
            <w:r>
              <w:rPr>
                <w:rFonts w:ascii="Arial" w:cs="Arial" w:eastAsia="Arial" w:hAnsi="Arial"/>
                <w:sz w:val="20"/>
                <w:szCs w:val="20"/>
                <w:b w:val="1"/>
                <w:bCs w:val="1"/>
                <w:color w:val="auto"/>
              </w:rPr>
              <w:t>2025</w:t>
            </w:r>
          </w:p>
        </w:tc>
      </w:tr>
      <w:tr>
        <w:trPr>
          <w:trHeight w:val="196"/>
        </w:trPr>
        <w:tc>
          <w:tcPr>
            <w:tcW w:w="5120" w:type="dxa"/>
            <w:vAlign w:val="bottom"/>
          </w:tcPr>
          <w:p>
            <w:pPr>
              <w:spacing w:after="0"/>
              <w:rPr>
                <w:sz w:val="17"/>
                <w:szCs w:val="17"/>
                <w:color w:val="auto"/>
              </w:rPr>
            </w:pPr>
          </w:p>
        </w:tc>
        <w:tc>
          <w:tcPr>
            <w:tcW w:w="2880" w:type="dxa"/>
            <w:vAlign w:val="bottom"/>
            <w:gridSpan w:val="3"/>
          </w:tcPr>
          <w:p>
            <w:pPr>
              <w:jc w:val="right"/>
              <w:ind w:right="841"/>
              <w:spacing w:after="0" w:line="196" w:lineRule="exact"/>
              <w:rPr>
                <w:sz w:val="20"/>
                <w:szCs w:val="20"/>
                <w:color w:val="auto"/>
              </w:rPr>
            </w:pPr>
            <w:r>
              <w:rPr>
                <w:rFonts w:ascii="Arial" w:cs="Arial" w:eastAsia="Arial" w:hAnsi="Arial"/>
                <w:sz w:val="20"/>
                <w:szCs w:val="20"/>
                <w:color w:val="auto"/>
              </w:rPr>
              <w:t>(Unaudited)</w:t>
            </w:r>
          </w:p>
        </w:tc>
      </w:tr>
      <w:tr>
        <w:trPr>
          <w:trHeight w:val="203"/>
        </w:trPr>
        <w:tc>
          <w:tcPr>
            <w:tcW w:w="5120" w:type="dxa"/>
            <w:vAlign w:val="bottom"/>
            <w:shd w:val="clear" w:color="auto" w:fill="CFF0FC"/>
          </w:tcPr>
          <w:p>
            <w:pPr>
              <w:ind w:left="20"/>
              <w:spacing w:after="0" w:line="203" w:lineRule="exact"/>
              <w:rPr>
                <w:sz w:val="20"/>
                <w:szCs w:val="20"/>
                <w:color w:val="auto"/>
              </w:rPr>
            </w:pPr>
            <w:r>
              <w:rPr>
                <w:rFonts w:ascii="Arial" w:cs="Arial" w:eastAsia="Arial" w:hAnsi="Arial"/>
                <w:sz w:val="20"/>
                <w:szCs w:val="20"/>
                <w:color w:val="auto"/>
              </w:rPr>
              <w:t>Net sales</w:t>
            </w: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20"/>
                <w:szCs w:val="20"/>
                <w:color w:val="auto"/>
              </w:rPr>
              <w:t>$343,403</w:t>
            </w:r>
          </w:p>
        </w:tc>
        <w:tc>
          <w:tcPr>
            <w:tcW w:w="14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20"/>
                <w:szCs w:val="20"/>
                <w:color w:val="auto"/>
              </w:rPr>
              <w:t>$339,993</w:t>
            </w: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20"/>
                <w:szCs w:val="20"/>
                <w:color w:val="auto"/>
              </w:rPr>
              <w:t>Cost of sales</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204,381</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202,262</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20"/>
                <w:szCs w:val="20"/>
                <w:color w:val="auto"/>
              </w:rPr>
              <w:t>Gross profit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139,022</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137,731</w:t>
            </w: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20"/>
                <w:szCs w:val="20"/>
                <w:color w:val="auto"/>
              </w:rPr>
              <w:t>Selling, general and administrative expenses</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55,517</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56,068</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20"/>
                <w:szCs w:val="20"/>
                <w:color w:val="auto"/>
              </w:rPr>
              <w:t>Income from operations</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83,505</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81,663</w:t>
            </w: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20"/>
                <w:szCs w:val="20"/>
                <w:color w:val="auto"/>
              </w:rPr>
              <w:t>Interest expense, net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76</w:t>
            </w: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20"/>
                <w:szCs w:val="20"/>
                <w:color w:val="auto"/>
              </w:rPr>
              <w:t>Income before income taxes</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83,505</w:t>
            </w:r>
          </w:p>
        </w:tc>
        <w:tc>
          <w:tcPr>
            <w:tcW w:w="14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20"/>
                <w:szCs w:val="20"/>
                <w:color w:val="auto"/>
              </w:rPr>
              <w:t>81,587</w:t>
            </w:r>
          </w:p>
        </w:tc>
      </w:tr>
      <w:tr>
        <w:trPr>
          <w:trHeight w:val="203"/>
        </w:trPr>
        <w:tc>
          <w:tcPr>
            <w:tcW w:w="5120" w:type="dxa"/>
            <w:vAlign w:val="bottom"/>
          </w:tcPr>
          <w:p>
            <w:pPr>
              <w:ind w:left="20"/>
              <w:spacing w:after="0" w:line="203" w:lineRule="exact"/>
              <w:rPr>
                <w:sz w:val="20"/>
                <w:szCs w:val="20"/>
                <w:color w:val="auto"/>
              </w:rPr>
            </w:pPr>
            <w:r>
              <w:rPr>
                <w:rFonts w:ascii="Arial" w:cs="Arial" w:eastAsia="Arial" w:hAnsi="Arial"/>
                <w:sz w:val="20"/>
                <w:szCs w:val="20"/>
                <w:color w:val="auto"/>
              </w:rPr>
              <w:t>Provision for income taxes</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22,102</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0"/>
                <w:szCs w:val="20"/>
                <w:color w:val="auto"/>
              </w:rPr>
              <w:t>21,153</w:t>
            </w:r>
          </w:p>
        </w:tc>
      </w:tr>
      <w:tr>
        <w:trPr>
          <w:trHeight w:val="19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20"/>
                <w:szCs w:val="20"/>
                <w:b w:val="1"/>
                <w:bCs w:val="1"/>
                <w:color w:val="auto"/>
              </w:rPr>
              <w:t>Net income</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b w:val="1"/>
                <w:bCs w:val="1"/>
                <w:color w:val="auto"/>
              </w:rPr>
              <w:t>$61,403</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b w:val="1"/>
                <w:bCs w:val="1"/>
                <w:color w:val="auto"/>
              </w:rPr>
              <w:t>$60,434</w:t>
            </w: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20"/>
                <w:szCs w:val="20"/>
                <w:color w:val="auto"/>
              </w:rPr>
              <w:t>Basic earnings per common share</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$0.58</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$0.56</w:t>
            </w:r>
          </w:p>
        </w:tc>
      </w:tr>
      <w:tr>
        <w:trPr>
          <w:trHeight w:val="19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20"/>
                <w:szCs w:val="20"/>
                <w:color w:val="auto"/>
              </w:rPr>
              <w:t>Basic weighted average common shares outstanding</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105,058,351</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107,180,665</w:t>
            </w: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20"/>
                <w:szCs w:val="20"/>
                <w:b w:val="1"/>
                <w:bCs w:val="1"/>
                <w:color w:val="auto"/>
              </w:rPr>
              <w:t>Diluted earnings per common share</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$0.58</w:t>
            </w:r>
          </w:p>
        </w:tc>
        <w:tc>
          <w:tcPr>
            <w:tcW w:w="8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b w:val="1"/>
                <w:bCs w:val="1"/>
                <w:color w:val="auto"/>
              </w:rPr>
              <w:t>$0.56</w:t>
            </w:r>
          </w:p>
        </w:tc>
      </w:tr>
      <w:tr>
        <w:trPr>
          <w:trHeight w:val="19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20"/>
                <w:szCs w:val="20"/>
                <w:color w:val="auto"/>
              </w:rPr>
              <w:t>Diluted weighted average common shares outstanding</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105,132,511</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107,284,084</w:t>
            </w:r>
          </w:p>
        </w:tc>
      </w:tr>
      <w:tr>
        <w:trPr>
          <w:trHeight w:val="255"/>
        </w:trPr>
        <w:tc>
          <w:tcPr>
            <w:tcW w:w="5120" w:type="dxa"/>
            <w:vAlign w:val="bottom"/>
          </w:tcPr>
          <w:p>
            <w:pPr>
              <w:ind w:left="20"/>
              <w:spacing w:after="0"/>
              <w:rPr>
                <w:sz w:val="20"/>
                <w:szCs w:val="20"/>
                <w:color w:val="auto"/>
              </w:rPr>
            </w:pPr>
            <w:r>
              <w:rPr>
                <w:rFonts w:ascii="Arial" w:cs="Arial" w:eastAsia="Arial" w:hAnsi="Arial"/>
                <w:sz w:val="20"/>
                <w:szCs w:val="20"/>
                <w:color w:val="auto"/>
              </w:rPr>
              <w:t>Comprehensive income</w:t>
            </w:r>
          </w:p>
        </w:tc>
        <w:tc>
          <w:tcPr>
            <w:tcW w:w="1400" w:type="dxa"/>
            <w:vAlign w:val="bottom"/>
          </w:tcPr>
          <w:p>
            <w:pPr>
              <w:jc w:val="right"/>
              <w:spacing w:after="0"/>
              <w:rPr>
                <w:sz w:val="20"/>
                <w:szCs w:val="20"/>
                <w:color w:val="auto"/>
              </w:rPr>
            </w:pPr>
            <w:r>
              <w:rPr>
                <w:rFonts w:ascii="Arial" w:cs="Arial" w:eastAsia="Arial" w:hAnsi="Arial"/>
                <w:sz w:val="20"/>
                <w:szCs w:val="20"/>
                <w:color w:val="auto"/>
              </w:rPr>
              <w:t>$61,403</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$60,434</w:t>
            </w:r>
          </w:p>
        </w:tc>
      </w:tr>
    </w:tbl>
    <w:p>
      <w:pPr>
        <w:spacing w:after="0" w:line="338"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ind w:left="4520"/>
        <w:spacing w:after="0"/>
        <w:rPr>
          <w:sz w:val="20"/>
          <w:szCs w:val="20"/>
          <w:color w:val="auto"/>
        </w:rPr>
      </w:pPr>
      <w:r>
        <w:rPr>
          <w:rFonts w:ascii="Arial" w:cs="Arial" w:eastAsia="Arial" w:hAnsi="Arial"/>
          <w:sz w:val="19"/>
          <w:szCs w:val="19"/>
          <w:b w:val="1"/>
          <w:bCs w:val="1"/>
          <w:color w:val="auto"/>
        </w:rPr>
        <w:t>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-131445</wp:posOffset>
            </wp:positionV>
            <wp:extent cx="5353050" cy="647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53050" cy="647065"/>
                    </a:xfrm>
                    <a:prstGeom prst="rect">
                      <a:avLst/>
                    </a:prstGeom>
                    <a:noFill/>
                  </pic:spPr>
                </pic:pic>
              </a:graphicData>
            </a:graphic>
          </wp:anchor>
        </w:drawing>
      </w:r>
    </w:p>
    <w:p>
      <w:pPr>
        <w:spacing w:after="0" w:line="142" w:lineRule="exact"/>
        <w:rPr>
          <w:sz w:val="20"/>
          <w:szCs w:val="20"/>
          <w:color w:val="auto"/>
        </w:rPr>
      </w:pPr>
    </w:p>
    <w:p>
      <w:pPr>
        <w:ind w:left="3660"/>
        <w:spacing w:after="0"/>
        <w:rPr>
          <w:sz w:val="20"/>
          <w:szCs w:val="20"/>
          <w:color w:val="auto"/>
        </w:rPr>
      </w:pPr>
      <w:r>
        <w:rPr>
          <w:rFonts w:ascii="Arial" w:cs="Arial" w:eastAsia="Arial" w:hAnsi="Arial"/>
          <w:sz w:val="19"/>
          <w:szCs w:val="19"/>
          <w:b w:val="1"/>
          <w:bCs w:val="1"/>
          <w:color w:val="auto"/>
        </w:rPr>
        <w:t>Condensed Consolidated Balance Sheets</w:t>
      </w:r>
    </w:p>
    <w:p>
      <w:pPr>
        <w:jc w:val="center"/>
        <w:spacing w:after="0" w:line="222" w:lineRule="auto"/>
        <w:rPr>
          <w:sz w:val="20"/>
          <w:szCs w:val="20"/>
          <w:color w:val="auto"/>
        </w:rPr>
      </w:pPr>
      <w:r>
        <w:rPr>
          <w:rFonts w:ascii="Arial" w:cs="Arial" w:eastAsia="Arial" w:hAnsi="Arial"/>
          <w:sz w:val="19"/>
          <w:szCs w:val="19"/>
          <w:b w:val="1"/>
          <w:bCs w:val="1"/>
          <w:color w:val="auto"/>
        </w:rPr>
        <w:t>(In thousands, except share data)</w:t>
      </w:r>
    </w:p>
    <w:p>
      <w:pPr>
        <w:jc w:val="center"/>
        <w:spacing w:after="0" w:line="229" w:lineRule="auto"/>
        <w:rPr>
          <w:sz w:val="20"/>
          <w:szCs w:val="20"/>
          <w:color w:val="auto"/>
        </w:rPr>
      </w:pPr>
      <w:r>
        <w:rPr>
          <w:rFonts w:ascii="Arial" w:cs="Arial" w:eastAsia="Arial" w:hAnsi="Arial"/>
          <w:sz w:val="19"/>
          <w:szCs w:val="19"/>
          <w:b w:val="1"/>
          <w:bCs w:val="1"/>
          <w:color w:val="auto"/>
        </w:rPr>
        <w:t>(unaudited)</w:t>
      </w:r>
    </w:p>
    <w:tbl>
      <w:tblPr>
        <w:tblLayout w:type="fixed"/>
        <w:tblInd w:w="0" w:type="dxa"/>
        <w:tblCellMar>
          <w:top w:w="0" w:type="dxa"/>
          <w:left w:w="0" w:type="dxa"/>
          <w:bottom w:w="0" w:type="dxa"/>
          <w:right w:w="0" w:type="dxa"/>
        </w:tblCellMar>
      </w:tblPr>
      <w:tr>
        <w:trPr>
          <w:trHeight w:val="172"/>
        </w:trPr>
        <w:tc>
          <w:tcPr>
            <w:tcW w:w="1320" w:type="dxa"/>
            <w:vAlign w:val="bottom"/>
            <w:tcBorders>
              <w:right w:val="single" w:sz="8" w:color="auto"/>
            </w:tcBorders>
          </w:tcPr>
          <w:p>
            <w:pPr>
              <w:spacing w:after="0"/>
              <w:rPr>
                <w:sz w:val="14"/>
                <w:szCs w:val="14"/>
                <w:color w:val="auto"/>
              </w:rPr>
            </w:pPr>
          </w:p>
        </w:tc>
        <w:tc>
          <w:tcPr>
            <w:tcW w:w="58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9"/>
                <w:szCs w:val="19"/>
                <w:b w:val="1"/>
                <w:bCs w:val="1"/>
                <w:color w:val="auto"/>
              </w:rPr>
              <w:t>March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right"/>
              <w:ind w:right="106"/>
              <w:spacing w:after="0" w:line="173" w:lineRule="exact"/>
              <w:rPr>
                <w:sz w:val="20"/>
                <w:szCs w:val="20"/>
                <w:color w:val="auto"/>
              </w:rPr>
            </w:pPr>
            <w:r>
              <w:rPr>
                <w:rFonts w:ascii="Arial" w:cs="Arial" w:eastAsia="Arial" w:hAnsi="Arial"/>
                <w:sz w:val="19"/>
                <w:szCs w:val="19"/>
                <w:b w:val="1"/>
                <w:bCs w:val="1"/>
                <w:color w:val="auto"/>
              </w:rPr>
              <w:t>December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20" w:type="dxa"/>
            <w:vAlign w:val="bottom"/>
            <w:tcBorders>
              <w:right w:val="single" w:sz="8" w:color="auto"/>
            </w:tcBorders>
          </w:tcPr>
          <w:p>
            <w:pPr>
              <w:spacing w:after="0"/>
              <w:rPr>
                <w:sz w:val="16"/>
                <w:szCs w:val="16"/>
                <w:color w:val="auto"/>
              </w:rPr>
            </w:pPr>
          </w:p>
        </w:tc>
        <w:tc>
          <w:tcPr>
            <w:tcW w:w="58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380" w:type="dxa"/>
            <w:vAlign w:val="bottom"/>
            <w:tcBorders>
              <w:right w:val="single" w:sz="8" w:color="auto"/>
            </w:tcBorders>
            <w:gridSpan w:val="2"/>
          </w:tcPr>
          <w:p>
            <w:pPr>
              <w:jc w:val="right"/>
              <w:ind w:right="406"/>
              <w:spacing w:after="0" w:line="189" w:lineRule="exact"/>
              <w:rPr>
                <w:sz w:val="20"/>
                <w:szCs w:val="20"/>
                <w:color w:val="auto"/>
              </w:rPr>
            </w:pPr>
            <w:r>
              <w:rPr>
                <w:rFonts w:ascii="Arial" w:cs="Arial" w:eastAsia="Arial" w:hAnsi="Arial"/>
                <w:sz w:val="19"/>
                <w:szCs w:val="19"/>
                <w:b w:val="1"/>
                <w:bCs w:val="1"/>
                <w:color w:val="auto"/>
              </w:rPr>
              <w:t>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20" w:type="dxa"/>
            <w:vAlign w:val="bottom"/>
            <w:tcBorders>
              <w:right w:val="single" w:sz="8" w:color="auto"/>
            </w:tcBorders>
          </w:tcPr>
          <w:p>
            <w:pPr>
              <w:spacing w:after="0"/>
              <w:rPr>
                <w:sz w:val="19"/>
                <w:szCs w:val="19"/>
                <w:color w:val="auto"/>
              </w:rPr>
            </w:pPr>
          </w:p>
        </w:tc>
        <w:tc>
          <w:tcPr>
            <w:tcW w:w="5800" w:type="dxa"/>
            <w:vAlign w:val="bottom"/>
          </w:tcPr>
          <w:p>
            <w:pPr>
              <w:spacing w:after="0"/>
              <w:rPr>
                <w:sz w:val="19"/>
                <w:szCs w:val="19"/>
                <w:color w:val="auto"/>
              </w:rPr>
            </w:pPr>
          </w:p>
        </w:tc>
        <w:tc>
          <w:tcPr>
            <w:tcW w:w="1240" w:type="dxa"/>
            <w:vAlign w:val="bottom"/>
          </w:tcPr>
          <w:p>
            <w:pPr>
              <w:jc w:val="right"/>
              <w:ind w:right="326"/>
              <w:spacing w:after="0"/>
              <w:rPr>
                <w:sz w:val="20"/>
                <w:szCs w:val="20"/>
                <w:color w:val="auto"/>
              </w:rPr>
            </w:pPr>
            <w:r>
              <w:rPr>
                <w:rFonts w:ascii="Arial" w:cs="Arial" w:eastAsia="Arial" w:hAnsi="Arial"/>
                <w:sz w:val="19"/>
                <w:szCs w:val="19"/>
                <w:b w:val="1"/>
                <w:bCs w:val="1"/>
                <w:color w:val="auto"/>
              </w:rPr>
              <w:t>2026</w:t>
            </w:r>
          </w:p>
        </w:tc>
        <w:tc>
          <w:tcPr>
            <w:tcW w:w="1380" w:type="dxa"/>
            <w:vAlign w:val="bottom"/>
            <w:tcBorders>
              <w:right w:val="single" w:sz="8" w:color="auto"/>
            </w:tcBorders>
            <w:gridSpan w:val="2"/>
          </w:tcPr>
          <w:p>
            <w:pPr>
              <w:jc w:val="right"/>
              <w:ind w:right="326"/>
              <w:spacing w:after="0"/>
              <w:rPr>
                <w:sz w:val="20"/>
                <w:szCs w:val="20"/>
                <w:color w:val="auto"/>
              </w:rPr>
            </w:pPr>
            <w:r>
              <w:rPr>
                <w:rFonts w:ascii="Arial" w:cs="Arial" w:eastAsia="Arial" w:hAnsi="Arial"/>
                <w:sz w:val="19"/>
                <w:szCs w:val="19"/>
                <w:b w:val="1"/>
                <w:bCs w:val="1"/>
                <w:color w:val="auto"/>
              </w:rPr>
              <w:t>2025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2440"/>
              <w:spacing w:after="0" w:line="196" w:lineRule="exact"/>
              <w:rPr>
                <w:sz w:val="20"/>
                <w:szCs w:val="20"/>
                <w:color w:val="auto"/>
              </w:rPr>
            </w:pPr>
            <w:r>
              <w:rPr>
                <w:rFonts w:ascii="Arial" w:cs="Arial" w:eastAsia="Arial" w:hAnsi="Arial"/>
                <w:sz w:val="19"/>
                <w:szCs w:val="19"/>
                <w:b w:val="1"/>
                <w:bCs w:val="1"/>
                <w:color w:val="auto"/>
              </w:rPr>
              <w:t>ASSETS</w:t>
            </w: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right w:val="single" w:sz="8" w:color="auto"/>
            </w:tcBorders>
            <w:shd w:val="clear" w:color="auto" w:fill="CFF0FC"/>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spacing w:after="0" w:line="203" w:lineRule="exact"/>
              <w:rPr>
                <w:sz w:val="20"/>
                <w:szCs w:val="20"/>
                <w:color w:val="auto"/>
              </w:rPr>
            </w:pPr>
            <w:r>
              <w:rPr>
                <w:rFonts w:ascii="Arial" w:cs="Arial" w:eastAsia="Arial" w:hAnsi="Arial"/>
                <w:sz w:val="19"/>
                <w:szCs w:val="19"/>
                <w:color w:val="auto"/>
              </w:rPr>
              <w:t>Current assets: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Cash and cash equivalents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$4,492</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$3,807</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Accounts receivable, net</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326,928</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48,091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Inventories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229,580</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238,665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Prepaid expenses and other assets</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9"/>
                <w:szCs w:val="19"/>
                <w:color w:val="auto"/>
              </w:rPr>
              <w:t>19,031</w:t>
            </w:r>
          </w:p>
        </w:tc>
        <w:tc>
          <w:tcPr>
            <w:tcW w:w="140" w:type="dxa"/>
            <w:vAlign w:val="bottom"/>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19,843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360"/>
              <w:spacing w:after="0" w:line="196" w:lineRule="exact"/>
              <w:rPr>
                <w:sz w:val="20"/>
                <w:szCs w:val="20"/>
                <w:color w:val="auto"/>
              </w:rPr>
            </w:pPr>
            <w:r>
              <w:rPr>
                <w:rFonts w:ascii="Arial" w:cs="Arial" w:eastAsia="Arial" w:hAnsi="Arial"/>
                <w:sz w:val="19"/>
                <w:szCs w:val="19"/>
                <w:color w:val="auto"/>
              </w:rPr>
              <w:t>Total current assets</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rPr>
              <w:t>580,031</w:t>
            </w:r>
          </w:p>
        </w:tc>
        <w:tc>
          <w:tcPr>
            <w:tcW w:w="1380" w:type="dxa"/>
            <w:vAlign w:val="bottom"/>
            <w:tcBorders>
              <w:right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9"/>
                <w:szCs w:val="19"/>
                <w:color w:val="auto"/>
              </w:rPr>
              <w:t>310,406</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spacing w:after="0" w:line="203" w:lineRule="exact"/>
              <w:rPr>
                <w:sz w:val="20"/>
                <w:szCs w:val="20"/>
                <w:color w:val="auto"/>
              </w:rPr>
            </w:pPr>
            <w:r>
              <w:rPr>
                <w:rFonts w:ascii="Arial" w:cs="Arial" w:eastAsia="Arial" w:hAnsi="Arial"/>
                <w:sz w:val="19"/>
                <w:szCs w:val="19"/>
                <w:color w:val="auto"/>
              </w:rPr>
              <w:t>Property, plant and equipment, net</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1,054,824</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1,049,733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spacing w:after="0" w:line="203" w:lineRule="exact"/>
              <w:rPr>
                <w:sz w:val="20"/>
                <w:szCs w:val="20"/>
                <w:color w:val="auto"/>
              </w:rPr>
            </w:pPr>
            <w:r>
              <w:rPr>
                <w:rFonts w:ascii="Arial" w:cs="Arial" w:eastAsia="Arial" w:hAnsi="Arial"/>
                <w:sz w:val="19"/>
                <w:szCs w:val="19"/>
                <w:color w:val="auto"/>
              </w:rPr>
              <w:t>Operating lease assets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51,404</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52,632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spacing w:after="0" w:line="203" w:lineRule="exact"/>
              <w:rPr>
                <w:sz w:val="20"/>
                <w:szCs w:val="20"/>
                <w:color w:val="auto"/>
              </w:rPr>
            </w:pPr>
            <w:r>
              <w:rPr>
                <w:rFonts w:ascii="Arial" w:cs="Arial" w:eastAsia="Arial" w:hAnsi="Arial"/>
                <w:sz w:val="19"/>
                <w:szCs w:val="19"/>
                <w:color w:val="auto"/>
              </w:rPr>
              <w:t>Goodwill and other intangible assets, net</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32,906</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31,529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9"/>
                <w:szCs w:val="19"/>
                <w:color w:val="auto"/>
              </w:rPr>
              <w:t>Other assets</w:t>
            </w:r>
          </w:p>
        </w:tc>
        <w:tc>
          <w:tcPr>
            <w:tcW w:w="12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10,649</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9,141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360"/>
              <w:spacing w:after="0" w:line="196" w:lineRule="exact"/>
              <w:rPr>
                <w:sz w:val="20"/>
                <w:szCs w:val="20"/>
                <w:color w:val="auto"/>
              </w:rPr>
            </w:pPr>
            <w:r>
              <w:rPr>
                <w:rFonts w:ascii="Arial" w:cs="Arial" w:eastAsia="Arial" w:hAnsi="Arial"/>
                <w:sz w:val="19"/>
                <w:szCs w:val="19"/>
                <w:b w:val="1"/>
                <w:bCs w:val="1"/>
                <w:color w:val="auto"/>
              </w:rPr>
              <w:t>Total assets</w:t>
            </w:r>
          </w:p>
        </w:tc>
        <w:tc>
          <w:tcPr>
            <w:tcW w:w="1240" w:type="dxa"/>
            <w:vAlign w:val="bottom"/>
          </w:tcPr>
          <w:p>
            <w:pPr>
              <w:jc w:val="right"/>
              <w:spacing w:after="0" w:line="196" w:lineRule="exact"/>
              <w:rPr>
                <w:sz w:val="20"/>
                <w:szCs w:val="20"/>
                <w:color w:val="auto"/>
              </w:rPr>
            </w:pPr>
            <w:r>
              <w:rPr>
                <w:rFonts w:ascii="Arial" w:cs="Arial" w:eastAsia="Arial" w:hAnsi="Arial"/>
                <w:sz w:val="19"/>
                <w:szCs w:val="19"/>
                <w:b w:val="1"/>
                <w:bCs w:val="1"/>
                <w:color w:val="auto"/>
              </w:rPr>
              <w:t>$1,729,814</w:t>
            </w:r>
          </w:p>
        </w:tc>
        <w:tc>
          <w:tcPr>
            <w:tcW w:w="1380" w:type="dxa"/>
            <w:vAlign w:val="bottom"/>
            <w:tcBorders>
              <w:right w:val="single" w:sz="8" w:color="auto"/>
            </w:tcBorders>
            <w:gridSpan w:val="2"/>
          </w:tcPr>
          <w:p>
            <w:pPr>
              <w:jc w:val="right"/>
              <w:spacing w:after="0" w:line="196" w:lineRule="exact"/>
              <w:rPr>
                <w:sz w:val="20"/>
                <w:szCs w:val="20"/>
                <w:color w:val="auto"/>
              </w:rPr>
            </w:pPr>
            <w:r>
              <w:rPr>
                <w:rFonts w:ascii="Arial" w:cs="Arial" w:eastAsia="Arial" w:hAnsi="Arial"/>
                <w:sz w:val="19"/>
                <w:szCs w:val="19"/>
                <w:b w:val="1"/>
                <w:bCs w:val="1"/>
                <w:color w:val="auto"/>
              </w:rPr>
              <w:t>$1,453,441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840"/>
              <w:spacing w:after="0" w:line="196" w:lineRule="exact"/>
              <w:rPr>
                <w:sz w:val="20"/>
                <w:szCs w:val="20"/>
                <w:color w:val="auto"/>
              </w:rPr>
            </w:pPr>
            <w:r>
              <w:rPr>
                <w:rFonts w:ascii="Arial" w:cs="Arial" w:eastAsia="Arial" w:hAnsi="Arial"/>
                <w:sz w:val="19"/>
                <w:szCs w:val="19"/>
                <w:b w:val="1"/>
                <w:bCs w:val="1"/>
                <w:color w:val="auto"/>
              </w:rPr>
              <w:t>LIABILITIES AND STOCKHOLDERS' EQUITY</w:t>
            </w: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right w:val="single" w:sz="8" w:color="auto"/>
            </w:tcBorders>
            <w:shd w:val="clear" w:color="auto" w:fill="CFF0FC"/>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spacing w:after="0" w:line="203" w:lineRule="exact"/>
              <w:rPr>
                <w:sz w:val="20"/>
                <w:szCs w:val="20"/>
                <w:color w:val="auto"/>
              </w:rPr>
            </w:pPr>
            <w:r>
              <w:rPr>
                <w:rFonts w:ascii="Arial" w:cs="Arial" w:eastAsia="Arial" w:hAnsi="Arial"/>
                <w:sz w:val="19"/>
                <w:szCs w:val="19"/>
                <w:color w:val="auto"/>
              </w:rPr>
              <w:t>Current liabilities: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Accounts payable</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$65,941</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$34,759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Accrued expenses and other liabilities</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112,739</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77,030</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Accrued warranty</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5,221</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5,416</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Line of credit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9"/>
                <w:szCs w:val="19"/>
                <w:color w:val="auto"/>
              </w:rPr>
              <w:t>382,500</w:t>
            </w:r>
          </w:p>
        </w:tc>
        <w:tc>
          <w:tcPr>
            <w:tcW w:w="140" w:type="dxa"/>
            <w:vAlign w:val="bottom"/>
          </w:tcPr>
          <w:p>
            <w:pPr>
              <w:spacing w:after="0"/>
              <w:rPr>
                <w:sz w:val="17"/>
                <w:szCs w:val="17"/>
                <w:color w:val="auto"/>
              </w:rPr>
            </w:pPr>
          </w:p>
        </w:tc>
        <w:tc>
          <w:tcPr>
            <w:tcW w:w="12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133,500</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360"/>
              <w:spacing w:after="0" w:line="196" w:lineRule="exact"/>
              <w:rPr>
                <w:sz w:val="20"/>
                <w:szCs w:val="20"/>
                <w:color w:val="auto"/>
              </w:rPr>
            </w:pPr>
            <w:r>
              <w:rPr>
                <w:rFonts w:ascii="Arial" w:cs="Arial" w:eastAsia="Arial" w:hAnsi="Arial"/>
                <w:sz w:val="19"/>
                <w:szCs w:val="19"/>
                <w:color w:val="auto"/>
              </w:rPr>
              <w:t>Total current liabilities</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rPr>
              <w:t>566,401</w:t>
            </w:r>
          </w:p>
        </w:tc>
        <w:tc>
          <w:tcPr>
            <w:tcW w:w="1380" w:type="dxa"/>
            <w:vAlign w:val="bottom"/>
            <w:tcBorders>
              <w:right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9"/>
                <w:szCs w:val="19"/>
                <w:color w:val="auto"/>
              </w:rPr>
              <w:t>250,705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Deferred income taxes</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85,833</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85,833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Operating lease liabilities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40,138</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41,755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Non-current accrued warranty</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25,121</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24,324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9"/>
                <w:szCs w:val="19"/>
                <w:color w:val="auto"/>
              </w:rPr>
              <w:t>Other long-term liabilities</w:t>
            </w:r>
          </w:p>
        </w:tc>
        <w:tc>
          <w:tcPr>
            <w:tcW w:w="12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16,560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16,560</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360"/>
              <w:spacing w:after="0" w:line="196" w:lineRule="exact"/>
              <w:rPr>
                <w:sz w:val="20"/>
                <w:szCs w:val="20"/>
                <w:color w:val="auto"/>
              </w:rPr>
            </w:pPr>
            <w:r>
              <w:rPr>
                <w:rFonts w:ascii="Arial" w:cs="Arial" w:eastAsia="Arial" w:hAnsi="Arial"/>
                <w:sz w:val="19"/>
                <w:szCs w:val="19"/>
                <w:b w:val="1"/>
                <w:bCs w:val="1"/>
                <w:color w:val="auto"/>
              </w:rPr>
              <w:t>Total liabilities</w:t>
            </w:r>
          </w:p>
        </w:tc>
        <w:tc>
          <w:tcPr>
            <w:tcW w:w="1240" w:type="dxa"/>
            <w:vAlign w:val="bottom"/>
          </w:tcPr>
          <w:p>
            <w:pPr>
              <w:jc w:val="right"/>
              <w:spacing w:after="0" w:line="196" w:lineRule="exact"/>
              <w:rPr>
                <w:sz w:val="20"/>
                <w:szCs w:val="20"/>
                <w:color w:val="auto"/>
              </w:rPr>
            </w:pPr>
            <w:r>
              <w:rPr>
                <w:rFonts w:ascii="Arial" w:cs="Arial" w:eastAsia="Arial" w:hAnsi="Arial"/>
                <w:sz w:val="19"/>
                <w:szCs w:val="19"/>
                <w:b w:val="1"/>
                <w:bCs w:val="1"/>
                <w:color w:val="auto"/>
              </w:rPr>
              <w:t>734,053</w:t>
            </w:r>
          </w:p>
        </w:tc>
        <w:tc>
          <w:tcPr>
            <w:tcW w:w="1380" w:type="dxa"/>
            <w:vAlign w:val="bottom"/>
            <w:tcBorders>
              <w:right w:val="single" w:sz="8" w:color="auto"/>
            </w:tcBorders>
            <w:gridSpan w:val="2"/>
          </w:tcPr>
          <w:p>
            <w:pPr>
              <w:jc w:val="right"/>
              <w:spacing w:after="0" w:line="196" w:lineRule="exact"/>
              <w:rPr>
                <w:sz w:val="20"/>
                <w:szCs w:val="20"/>
                <w:color w:val="auto"/>
              </w:rPr>
            </w:pPr>
            <w:r>
              <w:rPr>
                <w:rFonts w:ascii="Arial" w:cs="Arial" w:eastAsia="Arial" w:hAnsi="Arial"/>
                <w:sz w:val="19"/>
                <w:szCs w:val="19"/>
                <w:b w:val="1"/>
                <w:bCs w:val="1"/>
                <w:color w:val="auto"/>
              </w:rPr>
              <w:t>419,177</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spacing w:after="0" w:line="196" w:lineRule="exact"/>
              <w:rPr>
                <w:sz w:val="20"/>
                <w:szCs w:val="20"/>
                <w:color w:val="auto"/>
              </w:rPr>
            </w:pPr>
            <w:r>
              <w:rPr>
                <w:rFonts w:ascii="Arial" w:cs="Arial" w:eastAsia="Arial" w:hAnsi="Arial"/>
                <w:sz w:val="19"/>
                <w:szCs w:val="19"/>
                <w:color w:val="auto"/>
              </w:rPr>
              <w:t>Stockholder's equity:</w:t>
            </w: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right w:val="single" w:sz="8" w:color="auto"/>
            </w:tcBorders>
            <w:shd w:val="clear" w:color="auto" w:fill="CFF0FC"/>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Preferred stock,$0.01 par value, 3,000,000 shares authorized;</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7"/>
                <w:szCs w:val="17"/>
                <w:color w:val="auto"/>
              </w:rPr>
            </w:pPr>
          </w:p>
        </w:tc>
        <w:tc>
          <w:tcPr>
            <w:tcW w:w="12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tcBorders>
              <w:right w:val="single" w:sz="8" w:color="auto"/>
            </w:tcBorders>
          </w:tcPr>
          <w:p>
            <w:pPr>
              <w:spacing w:after="0"/>
              <w:rPr>
                <w:sz w:val="15"/>
                <w:szCs w:val="15"/>
                <w:color w:val="auto"/>
              </w:rPr>
            </w:pPr>
          </w:p>
        </w:tc>
        <w:tc>
          <w:tcPr>
            <w:tcW w:w="5800" w:type="dxa"/>
            <w:vAlign w:val="bottom"/>
            <w:shd w:val="clear" w:color="auto" w:fill="CFF0FC"/>
          </w:tcPr>
          <w:p>
            <w:pPr>
              <w:ind w:left="180"/>
              <w:spacing w:after="0" w:line="175" w:lineRule="exact"/>
              <w:rPr>
                <w:sz w:val="20"/>
                <w:szCs w:val="20"/>
                <w:color w:val="auto"/>
              </w:rPr>
            </w:pPr>
            <w:r>
              <w:rPr>
                <w:rFonts w:ascii="Arial" w:cs="Arial" w:eastAsia="Arial" w:hAnsi="Arial"/>
                <w:sz w:val="19"/>
                <w:szCs w:val="19"/>
                <w:color w:val="auto"/>
              </w:rPr>
              <w:t>Common stock, $0.01 par value, 360,000,000 shares authorized;</w:t>
            </w: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tcBorders>
              <w:right w:val="single" w:sz="8" w:color="auto"/>
            </w:tcBorders>
            <w:shd w:val="clear" w:color="auto" w:fill="CFF0FC"/>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tcBorders>
              <w:right w:val="single" w:sz="8" w:color="auto"/>
            </w:tcBorders>
          </w:tcPr>
          <w:p>
            <w:pPr>
              <w:spacing w:after="0"/>
              <w:rPr>
                <w:sz w:val="16"/>
                <w:szCs w:val="16"/>
                <w:color w:val="auto"/>
              </w:rPr>
            </w:pPr>
          </w:p>
        </w:tc>
        <w:tc>
          <w:tcPr>
            <w:tcW w:w="5800" w:type="dxa"/>
            <w:vAlign w:val="bottom"/>
            <w:shd w:val="clear" w:color="auto" w:fill="CFF0FC"/>
          </w:tcPr>
          <w:p>
            <w:pPr>
              <w:ind w:left="180"/>
              <w:spacing w:after="0" w:line="189" w:lineRule="exact"/>
              <w:rPr>
                <w:sz w:val="20"/>
                <w:szCs w:val="20"/>
                <w:color w:val="auto"/>
              </w:rPr>
            </w:pPr>
            <w:r>
              <w:rPr>
                <w:rFonts w:ascii="Arial" w:cs="Arial" w:eastAsia="Arial" w:hAnsi="Arial"/>
                <w:sz w:val="19"/>
                <w:szCs w:val="19"/>
                <w:color w:val="auto"/>
              </w:rPr>
              <w:t>141,280,582 and 141,208,139 shares issued and 103,898,577</w:t>
            </w: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tcBorders>
              <w:right w:val="single" w:sz="8" w:color="auto"/>
            </w:tcBorders>
            <w:shd w:val="clear" w:color="auto" w:fill="CFF0FC"/>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and 105,737,266 shares outstanding at March 31, 2026 and</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right w:val="single" w:sz="8" w:color="auto"/>
            </w:tcBorders>
            <w:shd w:val="clear" w:color="auto" w:fill="CFF0FC"/>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auto"/>
            </w:tcBorders>
          </w:tcPr>
          <w:p>
            <w:pPr>
              <w:spacing w:after="0"/>
              <w:rPr>
                <w:sz w:val="19"/>
                <w:szCs w:val="19"/>
                <w:color w:val="auto"/>
              </w:rPr>
            </w:pPr>
          </w:p>
        </w:tc>
        <w:tc>
          <w:tcPr>
            <w:tcW w:w="5800" w:type="dxa"/>
            <w:vAlign w:val="bottom"/>
            <w:shd w:val="clear" w:color="auto" w:fill="CFF0FC"/>
          </w:tcPr>
          <w:p>
            <w:pPr>
              <w:ind w:left="180"/>
              <w:spacing w:after="0"/>
              <w:rPr>
                <w:sz w:val="20"/>
                <w:szCs w:val="20"/>
                <w:color w:val="auto"/>
              </w:rPr>
            </w:pPr>
            <w:r>
              <w:rPr>
                <w:rFonts w:ascii="Arial" w:cs="Arial" w:eastAsia="Arial" w:hAnsi="Arial"/>
                <w:sz w:val="19"/>
                <w:szCs w:val="19"/>
                <w:color w:val="auto"/>
              </w:rPr>
              <w:t>December 31, 2025, respectively</w:t>
            </w:r>
          </w:p>
        </w:tc>
        <w:tc>
          <w:tcPr>
            <w:tcW w:w="1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1,413</w:t>
            </w:r>
          </w:p>
        </w:tc>
        <w:tc>
          <w:tcPr>
            <w:tcW w:w="1380" w:type="dxa"/>
            <w:vAlign w:val="bottom"/>
            <w:tcBorders>
              <w:right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1,412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Additional paid-in capital</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136,183</w:t>
            </w:r>
          </w:p>
        </w:tc>
        <w:tc>
          <w:tcPr>
            <w:tcW w:w="1380" w:type="dxa"/>
            <w:vAlign w:val="bottom"/>
            <w:tcBorders>
              <w:right w:val="single" w:sz="8" w:color="auto"/>
            </w:tcBorders>
            <w:gridSpan w:val="2"/>
          </w:tcPr>
          <w:p>
            <w:pPr>
              <w:jc w:val="right"/>
              <w:spacing w:after="0" w:line="203" w:lineRule="exact"/>
              <w:rPr>
                <w:sz w:val="20"/>
                <w:szCs w:val="20"/>
                <w:color w:val="auto"/>
              </w:rPr>
            </w:pPr>
            <w:r>
              <w:rPr>
                <w:rFonts w:ascii="Arial" w:cs="Arial" w:eastAsia="Arial" w:hAnsi="Arial"/>
                <w:sz w:val="19"/>
                <w:szCs w:val="19"/>
                <w:color w:val="auto"/>
              </w:rPr>
              <w:t>155,316</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right w:val="single" w:sz="8" w:color="auto"/>
            </w:tcBorders>
          </w:tcPr>
          <w:p>
            <w:pPr>
              <w:spacing w:after="0"/>
              <w:rPr>
                <w:sz w:val="17"/>
                <w:szCs w:val="17"/>
                <w:color w:val="auto"/>
              </w:rPr>
            </w:pPr>
          </w:p>
        </w:tc>
        <w:tc>
          <w:tcPr>
            <w:tcW w:w="5800" w:type="dxa"/>
            <w:vAlign w:val="bottom"/>
            <w:shd w:val="clear" w:color="auto" w:fill="CFF0FC"/>
          </w:tcPr>
          <w:p>
            <w:pPr>
              <w:ind w:left="180"/>
              <w:spacing w:after="0" w:line="203" w:lineRule="exact"/>
              <w:rPr>
                <w:sz w:val="20"/>
                <w:szCs w:val="20"/>
                <w:color w:val="auto"/>
              </w:rPr>
            </w:pPr>
            <w:r>
              <w:rPr>
                <w:rFonts w:ascii="Arial" w:cs="Arial" w:eastAsia="Arial" w:hAnsi="Arial"/>
                <w:sz w:val="19"/>
                <w:szCs w:val="19"/>
                <w:color w:val="auto"/>
              </w:rPr>
              <w:t>Retained earnings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1,851,250</w:t>
            </w:r>
          </w:p>
        </w:tc>
        <w:tc>
          <w:tcPr>
            <w:tcW w:w="1380" w:type="dxa"/>
            <w:vAlign w:val="bottom"/>
            <w:tcBorders>
              <w:right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9"/>
                <w:szCs w:val="19"/>
                <w:color w:val="auto"/>
              </w:rPr>
              <w:t>1,789,847</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tcBorders>
              <w:right w:val="single" w:sz="8" w:color="auto"/>
            </w:tcBorders>
          </w:tcPr>
          <w:p>
            <w:pPr>
              <w:spacing w:after="0"/>
              <w:rPr>
                <w:sz w:val="15"/>
                <w:szCs w:val="15"/>
                <w:color w:val="auto"/>
              </w:rPr>
            </w:pPr>
          </w:p>
        </w:tc>
        <w:tc>
          <w:tcPr>
            <w:tcW w:w="5800" w:type="dxa"/>
            <w:vAlign w:val="bottom"/>
          </w:tcPr>
          <w:p>
            <w:pPr>
              <w:ind w:left="180"/>
              <w:spacing w:after="0" w:line="175" w:lineRule="exact"/>
              <w:rPr>
                <w:sz w:val="20"/>
                <w:szCs w:val="20"/>
                <w:color w:val="auto"/>
              </w:rPr>
            </w:pPr>
            <w:r>
              <w:rPr>
                <w:rFonts w:ascii="Arial" w:cs="Arial" w:eastAsia="Arial" w:hAnsi="Arial"/>
                <w:sz w:val="19"/>
                <w:szCs w:val="19"/>
                <w:color w:val="auto"/>
              </w:rPr>
              <w:t>Treasury stock, at cost, 37,382,005 and 35,470,873 shares at</w:t>
            </w: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(993,085)</w:t>
            </w:r>
          </w:p>
        </w:tc>
        <w:tc>
          <w:tcPr>
            <w:tcW w:w="140" w:type="dxa"/>
            <w:vAlign w:val="bottom"/>
            <w:vMerge w:val="restart"/>
          </w:tcPr>
          <w:p>
            <w:pPr>
              <w:spacing w:after="0"/>
              <w:rPr>
                <w:sz w:val="15"/>
                <w:szCs w:val="15"/>
                <w:color w:val="auto"/>
              </w:rPr>
            </w:pP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(912,311)</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20" w:type="dxa"/>
            <w:vAlign w:val="bottom"/>
            <w:tcBorders>
              <w:right w:val="single" w:sz="8" w:color="auto"/>
            </w:tcBorders>
          </w:tcPr>
          <w:p>
            <w:pPr>
              <w:spacing w:after="0"/>
              <w:rPr>
                <w:sz w:val="17"/>
                <w:szCs w:val="17"/>
                <w:color w:val="auto"/>
              </w:rPr>
            </w:pPr>
          </w:p>
        </w:tc>
        <w:tc>
          <w:tcPr>
            <w:tcW w:w="5800" w:type="dxa"/>
            <w:vAlign w:val="bottom"/>
          </w:tcPr>
          <w:p>
            <w:pPr>
              <w:ind w:left="180"/>
              <w:spacing w:after="0" w:line="203" w:lineRule="exact"/>
              <w:rPr>
                <w:sz w:val="20"/>
                <w:szCs w:val="20"/>
                <w:color w:val="auto"/>
              </w:rPr>
            </w:pPr>
            <w:r>
              <w:rPr>
                <w:rFonts w:ascii="Arial" w:cs="Arial" w:eastAsia="Arial" w:hAnsi="Arial"/>
                <w:sz w:val="19"/>
                <w:szCs w:val="19"/>
                <w:color w:val="auto"/>
              </w:rPr>
              <w:t>March 31, 2026 and December 31, 2025, respectively</w:t>
            </w:r>
          </w:p>
        </w:tc>
        <w:tc>
          <w:tcPr>
            <w:tcW w:w="124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9"/>
                <w:szCs w:val="19"/>
                <w:b w:val="1"/>
                <w:bCs w:val="1"/>
                <w:color w:val="auto"/>
              </w:rPr>
              <w:t>Total stockholders' equity</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rPr>
              <w:t>995,761</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rPr>
              <w:t>1,034,264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58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9"/>
                <w:szCs w:val="19"/>
                <w:b w:val="1"/>
                <w:bCs w:val="1"/>
                <w:color w:val="auto"/>
              </w:rPr>
              <w:t>Total liabilities and stockholders' equity</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9"/>
                <w:szCs w:val="19"/>
                <w:b w:val="1"/>
                <w:bCs w:val="1"/>
                <w:color w:val="auto"/>
              </w:rPr>
              <w:t>$1,729,814</w:t>
            </w:r>
          </w:p>
        </w:tc>
        <w:tc>
          <w:tcPr>
            <w:tcW w:w="138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Arial" w:cs="Arial" w:eastAsia="Arial" w:hAnsi="Arial"/>
                <w:sz w:val="19"/>
                <w:szCs w:val="19"/>
                <w:b w:val="1"/>
                <w:bCs w:val="1"/>
                <w:color w:val="auto"/>
              </w:rPr>
              <w:t>$1,453,441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8"/>
        </w:trPr>
        <w:tc>
          <w:tcPr>
            <w:tcW w:w="13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2"/>
        </w:trPr>
        <w:tc>
          <w:tcPr>
            <w:tcW w:w="132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-4302760</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-2733675</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-1190625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40"/>
          </w:cols>
          <w:pgMar w:left="420" w:top="1422" w:right="439" w:bottom="1440" w:gutter="0" w:footer="0" w:header="0"/>
        </w:sectPr>
      </w:pPr>
    </w:p>
    <w:bookmarkStart w:id="12" w:name="page13"/>
    <w:bookmarkEnd w:id="12"/>
    <w:p>
      <w:pPr>
        <w:ind w:left="3500"/>
        <w:spacing w:after="0"/>
        <w:rPr>
          <w:sz w:val="20"/>
          <w:szCs w:val="20"/>
          <w:color w:val="auto"/>
        </w:rPr>
      </w:pPr>
      <w:r>
        <w:rPr>
          <w:rFonts w:ascii="Arial" w:cs="Arial" w:eastAsia="Arial" w:hAnsi="Arial"/>
          <w:sz w:val="19"/>
          <w:szCs w:val="19"/>
          <w:b w:val="1"/>
          <w:bCs w:val="1"/>
          <w:color w:val="auto"/>
        </w:rPr>
        <w:t>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-131445</wp:posOffset>
            </wp:positionV>
            <wp:extent cx="5353050" cy="518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3050" cy="518795"/>
                    </a:xfrm>
                    <a:prstGeom prst="rect">
                      <a:avLst/>
                    </a:prstGeom>
                    <a:noFill/>
                  </pic:spPr>
                </pic:pic>
              </a:graphicData>
            </a:graphic>
          </wp:anchor>
        </w:drawing>
      </w:r>
    </w:p>
    <w:p>
      <w:pPr>
        <w:spacing w:after="0" w:line="142"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Condensed Consolidated Statements of Cash Flows</w:t>
      </w:r>
    </w:p>
    <w:p>
      <w:pPr>
        <w:jc w:val="center"/>
        <w:ind w:right="19"/>
        <w:spacing w:after="0" w:line="228" w:lineRule="auto"/>
        <w:rPr>
          <w:sz w:val="20"/>
          <w:szCs w:val="20"/>
          <w:color w:val="auto"/>
        </w:rPr>
      </w:pPr>
      <w:r>
        <w:rPr>
          <w:rFonts w:ascii="Arial" w:cs="Arial" w:eastAsia="Arial" w:hAnsi="Arial"/>
          <w:sz w:val="19"/>
          <w:szCs w:val="19"/>
          <w:b w:val="1"/>
          <w:bCs w:val="1"/>
          <w:color w:val="auto"/>
        </w:rPr>
        <w:t>(In thousands)</w:t>
      </w:r>
    </w:p>
    <w:p>
      <w:pPr>
        <w:spacing w:after="0" w:line="1" w:lineRule="exact"/>
        <w:rPr>
          <w:sz w:val="20"/>
          <w:szCs w:val="20"/>
          <w:color w:val="auto"/>
        </w:rPr>
      </w:pPr>
    </w:p>
    <w:tbl>
      <w:tblPr>
        <w:tblLayout w:type="fixed"/>
        <w:tblInd w:w="290" w:type="dxa"/>
        <w:tblCellMar>
          <w:top w:w="0" w:type="dxa"/>
          <w:left w:w="0" w:type="dxa"/>
          <w:bottom w:w="0" w:type="dxa"/>
          <w:right w:w="0" w:type="dxa"/>
        </w:tblCellMar>
      </w:tblPr>
      <w:tr>
        <w:trPr>
          <w:trHeight w:val="172"/>
        </w:trPr>
        <w:tc>
          <w:tcPr>
            <w:tcW w:w="5820" w:type="dxa"/>
            <w:vAlign w:val="bottom"/>
            <w:tcBorders>
              <w:top w:val="single" w:sz="8" w:color="auto"/>
              <w:left w:val="single" w:sz="8" w:color="auto"/>
            </w:tcBorders>
          </w:tcPr>
          <w:p>
            <w:pPr>
              <w:spacing w:after="0"/>
              <w:rPr>
                <w:sz w:val="14"/>
                <w:szCs w:val="14"/>
                <w:color w:val="auto"/>
              </w:rPr>
            </w:pPr>
          </w:p>
        </w:tc>
        <w:tc>
          <w:tcPr>
            <w:tcW w:w="2620" w:type="dxa"/>
            <w:vAlign w:val="bottom"/>
            <w:tcBorders>
              <w:top w:val="single" w:sz="8" w:color="auto"/>
              <w:right w:val="single" w:sz="8" w:color="auto"/>
            </w:tcBorders>
            <w:gridSpan w:val="4"/>
          </w:tcPr>
          <w:p>
            <w:pPr>
              <w:jc w:val="center"/>
              <w:spacing w:after="0" w:line="173" w:lineRule="exact"/>
              <w:rPr>
                <w:sz w:val="20"/>
                <w:szCs w:val="20"/>
                <w:color w:val="auto"/>
              </w:rPr>
            </w:pPr>
            <w:r>
              <w:rPr>
                <w:rFonts w:ascii="Arial" w:cs="Arial" w:eastAsia="Arial" w:hAnsi="Arial"/>
                <w:sz w:val="19"/>
                <w:szCs w:val="19"/>
                <w:b w:val="1"/>
                <w:bCs w:val="1"/>
                <w:color w:val="auto"/>
                <w:w w:val="98"/>
              </w:rPr>
              <w:t>Three Months Ended</w:t>
            </w:r>
          </w:p>
        </w:tc>
      </w:tr>
      <w:tr>
        <w:trPr>
          <w:trHeight w:val="216"/>
        </w:trPr>
        <w:tc>
          <w:tcPr>
            <w:tcW w:w="5820" w:type="dxa"/>
            <w:vAlign w:val="bottom"/>
            <w:tcBorders>
              <w:left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706"/>
              <w:spacing w:after="0" w:line="216" w:lineRule="exact"/>
              <w:rPr>
                <w:sz w:val="20"/>
                <w:szCs w:val="20"/>
                <w:color w:val="auto"/>
              </w:rPr>
            </w:pPr>
            <w:r>
              <w:rPr>
                <w:rFonts w:ascii="Arial" w:cs="Arial" w:eastAsia="Arial" w:hAnsi="Arial"/>
                <w:sz w:val="19"/>
                <w:szCs w:val="19"/>
                <w:b w:val="1"/>
                <w:bCs w:val="1"/>
                <w:color w:val="auto"/>
                <w:w w:val="98"/>
              </w:rPr>
              <w:t>March 31,</w:t>
            </w:r>
          </w:p>
        </w:tc>
        <w:tc>
          <w:tcPr>
            <w:tcW w:w="840" w:type="dxa"/>
            <w:vAlign w:val="bottom"/>
            <w:tcBorders>
              <w:bottom w:val="single" w:sz="8" w:color="auto"/>
              <w:right w:val="single" w:sz="8" w:color="auto"/>
            </w:tcBorders>
          </w:tcPr>
          <w:p>
            <w:pPr>
              <w:spacing w:after="0"/>
              <w:rPr>
                <w:sz w:val="18"/>
                <w:szCs w:val="18"/>
                <w:color w:val="auto"/>
              </w:rPr>
            </w:pPr>
          </w:p>
        </w:tc>
      </w:tr>
      <w:tr>
        <w:trPr>
          <w:trHeight w:val="196"/>
        </w:trPr>
        <w:tc>
          <w:tcPr>
            <w:tcW w:w="5820" w:type="dxa"/>
            <w:vAlign w:val="bottom"/>
            <w:tcBorders>
              <w:left w:val="single" w:sz="8" w:color="auto"/>
            </w:tcBorders>
          </w:tcPr>
          <w:p>
            <w:pPr>
              <w:spacing w:after="0"/>
              <w:rPr>
                <w:sz w:val="17"/>
                <w:szCs w:val="17"/>
                <w:color w:val="auto"/>
              </w:rPr>
            </w:pPr>
          </w:p>
        </w:tc>
        <w:tc>
          <w:tcPr>
            <w:tcW w:w="1240" w:type="dxa"/>
            <w:vAlign w:val="bottom"/>
            <w:tcBorders>
              <w:bottom w:val="single" w:sz="8" w:color="auto"/>
            </w:tcBorders>
          </w:tcPr>
          <w:p>
            <w:pPr>
              <w:jc w:val="right"/>
              <w:ind w:right="326"/>
              <w:spacing w:after="0" w:line="196" w:lineRule="exact"/>
              <w:rPr>
                <w:sz w:val="20"/>
                <w:szCs w:val="20"/>
                <w:color w:val="auto"/>
              </w:rPr>
            </w:pPr>
            <w:r>
              <w:rPr>
                <w:rFonts w:ascii="Arial" w:cs="Arial" w:eastAsia="Arial" w:hAnsi="Arial"/>
                <w:sz w:val="19"/>
                <w:szCs w:val="19"/>
                <w:b w:val="1"/>
                <w:bCs w:val="1"/>
                <w:color w:val="auto"/>
              </w:rPr>
              <w:t>2026</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ind w:right="326"/>
              <w:spacing w:after="0" w:line="196" w:lineRule="exact"/>
              <w:rPr>
                <w:sz w:val="20"/>
                <w:szCs w:val="20"/>
                <w:color w:val="auto"/>
              </w:rPr>
            </w:pPr>
            <w:r>
              <w:rPr>
                <w:rFonts w:ascii="Arial" w:cs="Arial" w:eastAsia="Arial" w:hAnsi="Arial"/>
                <w:sz w:val="19"/>
                <w:szCs w:val="19"/>
                <w:b w:val="1"/>
                <w:bCs w:val="1"/>
                <w:color w:val="auto"/>
                <w:w w:val="94"/>
              </w:rPr>
              <w:t>2025</w:t>
            </w:r>
          </w:p>
        </w:tc>
      </w:tr>
      <w:tr>
        <w:trPr>
          <w:trHeight w:val="196"/>
        </w:trPr>
        <w:tc>
          <w:tcPr>
            <w:tcW w:w="5820" w:type="dxa"/>
            <w:vAlign w:val="bottom"/>
            <w:tcBorders>
              <w:left w:val="single" w:sz="8" w:color="auto"/>
            </w:tcBorders>
          </w:tcPr>
          <w:p>
            <w:pPr>
              <w:spacing w:after="0"/>
              <w:rPr>
                <w:sz w:val="17"/>
                <w:szCs w:val="17"/>
                <w:color w:val="auto"/>
              </w:rPr>
            </w:pPr>
          </w:p>
        </w:tc>
        <w:tc>
          <w:tcPr>
            <w:tcW w:w="1780" w:type="dxa"/>
            <w:vAlign w:val="bottom"/>
            <w:gridSpan w:val="3"/>
          </w:tcPr>
          <w:p>
            <w:pPr>
              <w:jc w:val="center"/>
              <w:ind w:left="726"/>
              <w:spacing w:after="0" w:line="196" w:lineRule="exact"/>
              <w:rPr>
                <w:sz w:val="20"/>
                <w:szCs w:val="20"/>
                <w:color w:val="auto"/>
              </w:rPr>
            </w:pPr>
            <w:r>
              <w:rPr>
                <w:rFonts w:ascii="Arial" w:cs="Arial" w:eastAsia="Arial" w:hAnsi="Arial"/>
                <w:sz w:val="19"/>
                <w:szCs w:val="19"/>
                <w:color w:val="auto"/>
                <w:w w:val="99"/>
              </w:rPr>
              <w:t>(unaudited)</w:t>
            </w:r>
          </w:p>
        </w:tc>
        <w:tc>
          <w:tcPr>
            <w:tcW w:w="840" w:type="dxa"/>
            <w:vAlign w:val="bottom"/>
            <w:tcBorders>
              <w:right w:val="single" w:sz="8" w:color="auto"/>
            </w:tcBorders>
          </w:tcPr>
          <w:p>
            <w:pPr>
              <w:spacing w:after="0"/>
              <w:rPr>
                <w:sz w:val="17"/>
                <w:szCs w:val="17"/>
                <w:color w:val="auto"/>
              </w:rPr>
            </w:pP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b w:val="1"/>
                <w:bCs w:val="1"/>
                <w:color w:val="auto"/>
              </w:rPr>
              <w:t>Operating Activities</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Net income</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$61,403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$60,434</w:t>
            </w:r>
          </w:p>
        </w:tc>
      </w:tr>
      <w:tr>
        <w:trPr>
          <w:trHeight w:val="175"/>
        </w:trPr>
        <w:tc>
          <w:tcPr>
            <w:tcW w:w="5820" w:type="dxa"/>
            <w:vAlign w:val="bottom"/>
            <w:tcBorders>
              <w:left w:val="single" w:sz="8" w:color="auto"/>
            </w:tcBorders>
            <w:shd w:val="clear" w:color="auto" w:fill="CFF0FC"/>
          </w:tcPr>
          <w:p>
            <w:pPr>
              <w:ind w:left="20"/>
              <w:spacing w:after="0" w:line="175" w:lineRule="exact"/>
              <w:rPr>
                <w:sz w:val="20"/>
                <w:szCs w:val="20"/>
                <w:color w:val="auto"/>
              </w:rPr>
            </w:pPr>
            <w:r>
              <w:rPr>
                <w:rFonts w:ascii="Arial" w:cs="Arial" w:eastAsia="Arial" w:hAnsi="Arial"/>
                <w:sz w:val="19"/>
                <w:szCs w:val="19"/>
                <w:color w:val="auto"/>
              </w:rPr>
              <w:t>Adjustments to reconcile net income to net cash used in operating</w:t>
            </w: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tcBorders>
              <w:right w:val="single" w:sz="8" w:color="auto"/>
            </w:tcBorders>
            <w:shd w:val="clear" w:color="auto" w:fill="CFF0FC"/>
          </w:tcPr>
          <w:p>
            <w:pPr>
              <w:spacing w:after="0"/>
              <w:rPr>
                <w:sz w:val="15"/>
                <w:szCs w:val="15"/>
                <w:color w:val="auto"/>
              </w:rPr>
            </w:pPr>
          </w:p>
        </w:tc>
      </w:tr>
      <w:tr>
        <w:trPr>
          <w:trHeight w:val="216"/>
        </w:trPr>
        <w:tc>
          <w:tcPr>
            <w:tcW w:w="5820" w:type="dxa"/>
            <w:vAlign w:val="bottom"/>
            <w:tcBorders>
              <w:left w:val="single" w:sz="8" w:color="auto"/>
            </w:tcBorders>
            <w:shd w:val="clear" w:color="auto" w:fill="CFF0FC"/>
          </w:tcPr>
          <w:p>
            <w:pPr>
              <w:ind w:left="20"/>
              <w:spacing w:after="0" w:line="216" w:lineRule="exact"/>
              <w:rPr>
                <w:sz w:val="20"/>
                <w:szCs w:val="20"/>
                <w:color w:val="auto"/>
              </w:rPr>
            </w:pPr>
            <w:r>
              <w:rPr>
                <w:rFonts w:ascii="Arial" w:cs="Arial" w:eastAsia="Arial" w:hAnsi="Arial"/>
                <w:sz w:val="19"/>
                <w:szCs w:val="19"/>
                <w:color w:val="auto"/>
              </w:rPr>
              <w:t>activities:</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Depreciation and amortization</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18,371</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14,249</w:t>
            </w: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Stock-based compensation</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2,634</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2,313</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(Gain) on disposal of property, plant and equipment</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(45)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(57)</w:t>
            </w: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Other non-cash adjustments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117</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117</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Changes in operating assets and liabilities: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3"/>
        </w:trPr>
        <w:tc>
          <w:tcPr>
            <w:tcW w:w="5820" w:type="dxa"/>
            <w:vAlign w:val="bottom"/>
            <w:tcBorders>
              <w:left w:val="single" w:sz="8" w:color="auto"/>
            </w:tcBorders>
            <w:shd w:val="clear" w:color="auto" w:fill="CFF0FC"/>
          </w:tcPr>
          <w:p>
            <w:pPr>
              <w:ind w:left="280"/>
              <w:spacing w:after="0" w:line="203" w:lineRule="exact"/>
              <w:rPr>
                <w:sz w:val="20"/>
                <w:szCs w:val="20"/>
                <w:color w:val="auto"/>
              </w:rPr>
            </w:pPr>
            <w:r>
              <w:rPr>
                <w:rFonts w:ascii="Arial" w:cs="Arial" w:eastAsia="Arial" w:hAnsi="Arial"/>
                <w:sz w:val="19"/>
                <w:szCs w:val="19"/>
                <w:color w:val="auto"/>
              </w:rPr>
              <w:t>Accounts receivable</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(278,838)</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w w:val="95"/>
              </w:rPr>
              <w:t>(302,708)</w:t>
            </w:r>
          </w:p>
        </w:tc>
      </w:tr>
      <w:tr>
        <w:trPr>
          <w:trHeight w:val="203"/>
        </w:trPr>
        <w:tc>
          <w:tcPr>
            <w:tcW w:w="5820" w:type="dxa"/>
            <w:vAlign w:val="bottom"/>
            <w:tcBorders>
              <w:left w:val="single" w:sz="8" w:color="auto"/>
            </w:tcBorders>
          </w:tcPr>
          <w:p>
            <w:pPr>
              <w:ind w:left="280"/>
              <w:spacing w:after="0" w:line="203" w:lineRule="exact"/>
              <w:rPr>
                <w:sz w:val="20"/>
                <w:szCs w:val="20"/>
                <w:color w:val="auto"/>
              </w:rPr>
            </w:pPr>
            <w:r>
              <w:rPr>
                <w:rFonts w:ascii="Arial" w:cs="Arial" w:eastAsia="Arial" w:hAnsi="Arial"/>
                <w:sz w:val="19"/>
                <w:szCs w:val="19"/>
                <w:color w:val="auto"/>
              </w:rPr>
              <w:t>Inventories</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9,086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30,863</w:t>
            </w:r>
          </w:p>
        </w:tc>
      </w:tr>
      <w:tr>
        <w:trPr>
          <w:trHeight w:val="203"/>
        </w:trPr>
        <w:tc>
          <w:tcPr>
            <w:tcW w:w="5820" w:type="dxa"/>
            <w:vAlign w:val="bottom"/>
            <w:tcBorders>
              <w:left w:val="single" w:sz="8" w:color="auto"/>
            </w:tcBorders>
            <w:shd w:val="clear" w:color="auto" w:fill="CFF0FC"/>
          </w:tcPr>
          <w:p>
            <w:pPr>
              <w:ind w:left="280"/>
              <w:spacing w:after="0" w:line="203" w:lineRule="exact"/>
              <w:rPr>
                <w:sz w:val="20"/>
                <w:szCs w:val="20"/>
                <w:color w:val="auto"/>
              </w:rPr>
            </w:pPr>
            <w:r>
              <w:rPr>
                <w:rFonts w:ascii="Arial" w:cs="Arial" w:eastAsia="Arial" w:hAnsi="Arial"/>
                <w:sz w:val="19"/>
                <w:szCs w:val="19"/>
                <w:color w:val="auto"/>
              </w:rPr>
              <w:t>Prepaid expenses and other assets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(523)</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2,161</w:t>
            </w:r>
          </w:p>
        </w:tc>
      </w:tr>
      <w:tr>
        <w:trPr>
          <w:trHeight w:val="203"/>
        </w:trPr>
        <w:tc>
          <w:tcPr>
            <w:tcW w:w="5820" w:type="dxa"/>
            <w:vAlign w:val="bottom"/>
            <w:tcBorders>
              <w:left w:val="single" w:sz="8" w:color="auto"/>
            </w:tcBorders>
          </w:tcPr>
          <w:p>
            <w:pPr>
              <w:ind w:left="280"/>
              <w:spacing w:after="0" w:line="203" w:lineRule="exact"/>
              <w:rPr>
                <w:sz w:val="20"/>
                <w:szCs w:val="20"/>
                <w:color w:val="auto"/>
              </w:rPr>
            </w:pPr>
            <w:r>
              <w:rPr>
                <w:rFonts w:ascii="Arial" w:cs="Arial" w:eastAsia="Arial" w:hAnsi="Arial"/>
                <w:sz w:val="19"/>
                <w:szCs w:val="19"/>
                <w:color w:val="auto"/>
              </w:rPr>
              <w:t>Accounts payable</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31,300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4,187</w:t>
            </w:r>
          </w:p>
        </w:tc>
      </w:tr>
      <w:tr>
        <w:trPr>
          <w:trHeight w:val="203"/>
        </w:trPr>
        <w:tc>
          <w:tcPr>
            <w:tcW w:w="5820" w:type="dxa"/>
            <w:vAlign w:val="bottom"/>
            <w:tcBorders>
              <w:left w:val="single" w:sz="8" w:color="auto"/>
            </w:tcBorders>
            <w:shd w:val="clear" w:color="auto" w:fill="CFF0FC"/>
          </w:tcPr>
          <w:p>
            <w:pPr>
              <w:ind w:left="280"/>
              <w:spacing w:after="0" w:line="203" w:lineRule="exact"/>
              <w:rPr>
                <w:sz w:val="20"/>
                <w:szCs w:val="20"/>
                <w:color w:val="auto"/>
              </w:rPr>
            </w:pPr>
            <w:r>
              <w:rPr>
                <w:rFonts w:ascii="Arial" w:cs="Arial" w:eastAsia="Arial" w:hAnsi="Arial"/>
                <w:sz w:val="19"/>
                <w:szCs w:val="19"/>
                <w:color w:val="auto"/>
              </w:rPr>
              <w:t>Accrued expenses and other liabilities</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15,963</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15,278</w:t>
            </w:r>
          </w:p>
        </w:tc>
      </w:tr>
      <w:tr>
        <w:trPr>
          <w:trHeight w:val="203"/>
        </w:trPr>
        <w:tc>
          <w:tcPr>
            <w:tcW w:w="5820" w:type="dxa"/>
            <w:vAlign w:val="bottom"/>
            <w:tcBorders>
              <w:left w:val="single" w:sz="8" w:color="auto"/>
            </w:tcBorders>
          </w:tcPr>
          <w:p>
            <w:pPr>
              <w:ind w:left="280"/>
              <w:spacing w:after="0" w:line="203" w:lineRule="exact"/>
              <w:rPr>
                <w:sz w:val="20"/>
                <w:szCs w:val="20"/>
                <w:color w:val="auto"/>
              </w:rPr>
            </w:pPr>
            <w:r>
              <w:rPr>
                <w:rFonts w:ascii="Arial" w:cs="Arial" w:eastAsia="Arial" w:hAnsi="Arial"/>
                <w:sz w:val="19"/>
                <w:szCs w:val="19"/>
                <w:color w:val="auto"/>
              </w:rPr>
              <w:t>Income taxes receivable/payable</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9"/>
                <w:szCs w:val="19"/>
                <w:color w:val="auto"/>
              </w:rPr>
              <w:t>22,107</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19,150</w:t>
            </w:r>
          </w:p>
        </w:tc>
      </w:tr>
      <w:tr>
        <w:trPr>
          <w:trHeight w:val="196"/>
        </w:trPr>
        <w:tc>
          <w:tcPr>
            <w:tcW w:w="5820" w:type="dxa"/>
            <w:vAlign w:val="bottom"/>
            <w:tcBorders>
              <w:left w:val="single" w:sz="8" w:color="auto"/>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9"/>
                <w:szCs w:val="19"/>
                <w:b w:val="1"/>
                <w:bCs w:val="1"/>
                <w:color w:val="auto"/>
              </w:rPr>
              <w:t>Net cash used in operating activities</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rPr>
              <w:t>(118,425)</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w w:val="95"/>
              </w:rPr>
              <w:t>(154,013)</w:t>
            </w:r>
          </w:p>
        </w:tc>
      </w:tr>
      <w:tr>
        <w:trPr>
          <w:trHeight w:val="399"/>
        </w:trPr>
        <w:tc>
          <w:tcPr>
            <w:tcW w:w="5820" w:type="dxa"/>
            <w:vAlign w:val="bottom"/>
            <w:tcBorders>
              <w:left w:val="single" w:sz="8" w:color="auto"/>
            </w:tcBorders>
          </w:tcPr>
          <w:p>
            <w:pPr>
              <w:ind w:left="20"/>
              <w:spacing w:after="0"/>
              <w:rPr>
                <w:sz w:val="20"/>
                <w:szCs w:val="20"/>
                <w:color w:val="auto"/>
              </w:rPr>
            </w:pPr>
            <w:r>
              <w:rPr>
                <w:rFonts w:ascii="Arial" w:cs="Arial" w:eastAsia="Arial" w:hAnsi="Arial"/>
                <w:sz w:val="19"/>
                <w:szCs w:val="19"/>
                <w:b w:val="1"/>
                <w:bCs w:val="1"/>
                <w:color w:val="auto"/>
              </w:rPr>
              <w:t>Investing Activities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Expenditures for property, plant and equipment</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(23,105)</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(79,486)</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Purchased intangibles</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(1,852)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(635)</w:t>
            </w:r>
          </w:p>
        </w:tc>
      </w:tr>
      <w:tr>
        <w:trPr>
          <w:trHeight w:val="203"/>
        </w:trPr>
        <w:tc>
          <w:tcPr>
            <w:tcW w:w="5820" w:type="dxa"/>
            <w:vAlign w:val="bottom"/>
            <w:tcBorders>
              <w:left w:val="single" w:sz="8" w:color="auto"/>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Proceeds from sales of property, plant and equipment</w:t>
            </w:r>
          </w:p>
        </w:tc>
        <w:tc>
          <w:tcPr>
            <w:tcW w:w="12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45</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156</w:t>
            </w:r>
          </w:p>
        </w:tc>
      </w:tr>
      <w:tr>
        <w:trPr>
          <w:trHeight w:val="196"/>
        </w:trPr>
        <w:tc>
          <w:tcPr>
            <w:tcW w:w="5820" w:type="dxa"/>
            <w:vAlign w:val="bottom"/>
            <w:tcBorders>
              <w:left w:val="single" w:sz="8" w:color="auto"/>
            </w:tcBorders>
          </w:tcPr>
          <w:p>
            <w:pPr>
              <w:ind w:left="20"/>
              <w:spacing w:after="0" w:line="196" w:lineRule="exact"/>
              <w:rPr>
                <w:sz w:val="20"/>
                <w:szCs w:val="20"/>
                <w:color w:val="auto"/>
              </w:rPr>
            </w:pPr>
            <w:r>
              <w:rPr>
                <w:rFonts w:ascii="Arial" w:cs="Arial" w:eastAsia="Arial" w:hAnsi="Arial"/>
                <w:sz w:val="19"/>
                <w:szCs w:val="19"/>
                <w:b w:val="1"/>
                <w:bCs w:val="1"/>
                <w:color w:val="auto"/>
              </w:rPr>
              <w:t>Net cash used in investing activities</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9"/>
                <w:szCs w:val="19"/>
                <w:b w:val="1"/>
                <w:bCs w:val="1"/>
                <w:color w:val="auto"/>
              </w:rPr>
              <w:t>(24,912)</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9"/>
                <w:szCs w:val="19"/>
                <w:b w:val="1"/>
                <w:bCs w:val="1"/>
                <w:color w:val="auto"/>
              </w:rPr>
              <w:t>(79,965)</w:t>
            </w:r>
          </w:p>
        </w:tc>
      </w:tr>
      <w:tr>
        <w:trPr>
          <w:trHeight w:val="196"/>
        </w:trPr>
        <w:tc>
          <w:tcPr>
            <w:tcW w:w="5820" w:type="dxa"/>
            <w:vAlign w:val="bottom"/>
            <w:tcBorders>
              <w:lef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b w:val="1"/>
                <w:bCs w:val="1"/>
                <w:color w:val="auto"/>
              </w:rPr>
              <w:t>Financing Activities</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Borrowings under line of credit</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314,000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257,047</w:t>
            </w: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Principal payments under line of credit</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(65,000)</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(15,700)</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Repurchases of common stock</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(82,826)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(4,008)</w:t>
            </w:r>
          </w:p>
        </w:tc>
      </w:tr>
      <w:tr>
        <w:trPr>
          <w:trHeight w:val="203"/>
        </w:trPr>
        <w:tc>
          <w:tcPr>
            <w:tcW w:w="5820" w:type="dxa"/>
            <w:vAlign w:val="bottom"/>
            <w:tcBorders>
              <w:left w:val="single" w:sz="8" w:color="auto"/>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Unsettled accelerated share repurchase</w:t>
            </w: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9"/>
                <w:szCs w:val="19"/>
                <w:color w:val="auto"/>
              </w:rPr>
              <w:t>(20,000)</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Proceeds from employee stock purchase and option plans</w:t>
            </w:r>
          </w:p>
        </w:tc>
        <w:tc>
          <w:tcPr>
            <w:tcW w:w="1240" w:type="dxa"/>
            <w:vAlign w:val="bottom"/>
          </w:tcPr>
          <w:p>
            <w:pPr>
              <w:jc w:val="right"/>
              <w:spacing w:after="0" w:line="203" w:lineRule="exact"/>
              <w:rPr>
                <w:sz w:val="20"/>
                <w:szCs w:val="20"/>
                <w:color w:val="auto"/>
              </w:rPr>
            </w:pPr>
            <w:r>
              <w:rPr>
                <w:rFonts w:ascii="Arial" w:cs="Arial" w:eastAsia="Arial" w:hAnsi="Arial"/>
                <w:sz w:val="19"/>
                <w:szCs w:val="19"/>
                <w:color w:val="auto"/>
              </w:rPr>
              <w:t>286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300</w:t>
            </w:r>
          </w:p>
        </w:tc>
      </w:tr>
      <w:tr>
        <w:trPr>
          <w:trHeight w:val="203"/>
        </w:trPr>
        <w:tc>
          <w:tcPr>
            <w:tcW w:w="5820" w:type="dxa"/>
            <w:vAlign w:val="bottom"/>
            <w:tcBorders>
              <w:left w:val="single" w:sz="8" w:color="auto"/>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9"/>
                <w:szCs w:val="19"/>
                <w:color w:val="auto"/>
              </w:rPr>
              <w:t>Financing costs</w:t>
            </w:r>
          </w:p>
        </w:tc>
        <w:tc>
          <w:tcPr>
            <w:tcW w:w="12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(2,438)</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auto"/>
            </w:tcBorders>
            <w:shd w:val="clear" w:color="auto" w:fill="CFF0FC"/>
          </w:tcPr>
          <w:p>
            <w:pPr>
              <w:jc w:val="right"/>
              <w:spacing w:after="0" w:line="203" w:lineRule="exact"/>
              <w:rPr>
                <w:sz w:val="20"/>
                <w:szCs w:val="20"/>
                <w:color w:val="auto"/>
              </w:rPr>
            </w:pPr>
            <w:r>
              <w:rPr>
                <w:rFonts w:ascii="Arial" w:cs="Arial" w:eastAsia="Arial" w:hAnsi="Arial"/>
                <w:sz w:val="19"/>
                <w:szCs w:val="19"/>
                <w:color w:val="auto"/>
              </w:rPr>
              <w:t>10</w:t>
            </w:r>
          </w:p>
        </w:tc>
      </w:tr>
      <w:tr>
        <w:trPr>
          <w:trHeight w:val="196"/>
        </w:trPr>
        <w:tc>
          <w:tcPr>
            <w:tcW w:w="5820" w:type="dxa"/>
            <w:vAlign w:val="bottom"/>
            <w:tcBorders>
              <w:left w:val="single" w:sz="8" w:color="auto"/>
            </w:tcBorders>
          </w:tcPr>
          <w:p>
            <w:pPr>
              <w:ind w:left="20"/>
              <w:spacing w:after="0" w:line="196" w:lineRule="exact"/>
              <w:rPr>
                <w:sz w:val="20"/>
                <w:szCs w:val="20"/>
                <w:color w:val="auto"/>
              </w:rPr>
            </w:pPr>
            <w:r>
              <w:rPr>
                <w:rFonts w:ascii="Arial" w:cs="Arial" w:eastAsia="Arial" w:hAnsi="Arial"/>
                <w:sz w:val="19"/>
                <w:szCs w:val="19"/>
                <w:b w:val="1"/>
                <w:bCs w:val="1"/>
                <w:color w:val="auto"/>
              </w:rPr>
              <w:t>Net cash provided by financing activities</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9"/>
                <w:szCs w:val="19"/>
                <w:b w:val="1"/>
                <w:bCs w:val="1"/>
                <w:color w:val="auto"/>
              </w:rPr>
              <w:t>144,022</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9"/>
                <w:szCs w:val="19"/>
                <w:b w:val="1"/>
                <w:bCs w:val="1"/>
                <w:color w:val="auto"/>
              </w:rPr>
              <w:t>237,649</w:t>
            </w:r>
          </w:p>
        </w:tc>
      </w:tr>
      <w:tr>
        <w:trPr>
          <w:trHeight w:val="196"/>
        </w:trPr>
        <w:tc>
          <w:tcPr>
            <w:tcW w:w="5820" w:type="dxa"/>
            <w:vAlign w:val="bottom"/>
            <w:tcBorders>
              <w:left w:val="single" w:sz="8" w:color="auto"/>
            </w:tcBorders>
            <w:shd w:val="clear" w:color="auto" w:fill="CFF0FC"/>
          </w:tcPr>
          <w:p>
            <w:pPr>
              <w:ind w:left="20"/>
              <w:spacing w:after="0" w:line="196" w:lineRule="exact"/>
              <w:rPr>
                <w:sz w:val="20"/>
                <w:szCs w:val="20"/>
                <w:color w:val="auto"/>
              </w:rPr>
            </w:pPr>
            <w:r>
              <w:rPr>
                <w:rFonts w:ascii="Arial" w:cs="Arial" w:eastAsia="Arial" w:hAnsi="Arial"/>
                <w:sz w:val="19"/>
                <w:szCs w:val="19"/>
                <w:color w:val="auto"/>
              </w:rPr>
              <w:t>Net increase in cash and cash equivalents</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rPr>
              <w:t>685</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color w:val="auto"/>
              </w:rPr>
              <w:t>3,671</w:t>
            </w:r>
          </w:p>
        </w:tc>
      </w:tr>
      <w:tr>
        <w:trPr>
          <w:trHeight w:val="203"/>
        </w:trPr>
        <w:tc>
          <w:tcPr>
            <w:tcW w:w="5820" w:type="dxa"/>
            <w:vAlign w:val="bottom"/>
            <w:tcBorders>
              <w:left w:val="single" w:sz="8" w:color="auto"/>
            </w:tcBorders>
          </w:tcPr>
          <w:p>
            <w:pPr>
              <w:ind w:left="20"/>
              <w:spacing w:after="0" w:line="203" w:lineRule="exact"/>
              <w:rPr>
                <w:sz w:val="20"/>
                <w:szCs w:val="20"/>
                <w:color w:val="auto"/>
              </w:rPr>
            </w:pPr>
            <w:r>
              <w:rPr>
                <w:rFonts w:ascii="Arial" w:cs="Arial" w:eastAsia="Arial" w:hAnsi="Arial"/>
                <w:sz w:val="19"/>
                <w:szCs w:val="19"/>
                <w:color w:val="auto"/>
              </w:rPr>
              <w:t>Cash and cash equivalents at beginning of period</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9"/>
                <w:szCs w:val="19"/>
                <w:color w:val="auto"/>
              </w:rPr>
              <w:t>3,807</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9"/>
                <w:szCs w:val="19"/>
                <w:color w:val="auto"/>
              </w:rPr>
              <w:t>1,292</w:t>
            </w:r>
          </w:p>
        </w:tc>
      </w:tr>
      <w:tr>
        <w:trPr>
          <w:trHeight w:val="196"/>
        </w:trPr>
        <w:tc>
          <w:tcPr>
            <w:tcW w:w="5820" w:type="dxa"/>
            <w:vAlign w:val="bottom"/>
            <w:tcBorders>
              <w:left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9"/>
                <w:szCs w:val="19"/>
                <w:b w:val="1"/>
                <w:bCs w:val="1"/>
                <w:color w:val="auto"/>
              </w:rPr>
              <w:t>Cash and cash equivalents at end of period</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rPr>
              <w:t>$4,492</w:t>
            </w:r>
          </w:p>
        </w:tc>
        <w:tc>
          <w:tcPr>
            <w:tcW w:w="1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9"/>
                <w:szCs w:val="19"/>
                <w:b w:val="1"/>
                <w:bCs w:val="1"/>
                <w:color w:val="auto"/>
              </w:rPr>
              <w:t>$4,963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-2374265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-1722120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-548005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5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633730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t>About Trex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5" w:lineRule="exact"/>
        <w:rPr>
          <w:sz w:val="20"/>
          <w:szCs w:val="20"/>
          <w:color w:val="auto"/>
        </w:rPr>
      </w:pPr>
    </w:p>
    <w:p>
      <w:pPr>
        <w:ind w:left="300" w:right="339"/>
        <w:spacing w:after="0" w:line="235" w:lineRule="auto"/>
        <w:rPr>
          <w:sz w:val="20"/>
          <w:szCs w:val="20"/>
          <w:color w:val="auto"/>
        </w:rPr>
      </w:pPr>
      <w:r>
        <w:rPr>
          <w:rFonts w:ascii="Arial" w:cs="Arial" w:eastAsia="Arial" w:hAnsi="Arial"/>
          <w:sz w:val="19"/>
          <w:szCs w:val="19"/>
          <w:color w:val="auto"/>
        </w:rPr>
        <w:t>For more than 30 years, Trex Company [NYSE: TREX] has invented, reinvented and defined the composite decking category. Today, the company is the world’s #1 brand of sustainable, wood-alternative decking and railing, and a leader in high performance, low-maintenance outdoor living products. Boasting the industry’s strongest distribution network, Trex sells products through more than 6,700 retail outlets across six continents. Through strategic licensing agreements, the company offers a comprehensive outdoor living portfolio that includes deck drainage, flashing tapes, LED lighting, outdoor kitchen components, pergolas, spiral stairs, fencing, lattice, cornhole and outdoor furniture – all marketed under the Trex</w:t>
      </w:r>
      <w:r>
        <w:rPr>
          <w:rFonts w:ascii="Arial" w:cs="Arial" w:eastAsia="Arial" w:hAnsi="Arial"/>
          <w:sz w:val="25"/>
          <w:szCs w:val="25"/>
          <w:color w:val="auto"/>
          <w:vertAlign w:val="superscript"/>
        </w:rPr>
        <w:t>®</w:t>
      </w:r>
      <w:r>
        <w:rPr>
          <w:rFonts w:ascii="Arial" w:cs="Arial" w:eastAsia="Arial" w:hAnsi="Arial"/>
          <w:sz w:val="19"/>
          <w:szCs w:val="19"/>
          <w:color w:val="auto"/>
        </w:rPr>
        <w:t xml:space="preserve"> brand. Based in Winchester, Va., Trex is proud to have been named America’s Most Trusted</w:t>
      </w:r>
      <w:r>
        <w:rPr>
          <w:rFonts w:ascii="Arial" w:cs="Arial" w:eastAsia="Arial" w:hAnsi="Arial"/>
          <w:sz w:val="25"/>
          <w:szCs w:val="25"/>
          <w:color w:val="auto"/>
          <w:vertAlign w:val="superscript"/>
        </w:rPr>
        <w:t>®</w:t>
      </w:r>
      <w:r>
        <w:rPr>
          <w:rFonts w:ascii="Arial" w:cs="Arial" w:eastAsia="Arial" w:hAnsi="Arial"/>
          <w:sz w:val="19"/>
          <w:szCs w:val="19"/>
          <w:color w:val="auto"/>
        </w:rPr>
        <w:t xml:space="preserve"> Outdoor Decking^ for the past 6 years (2021-2026). The company also holds a place on Barron’s list of the 100 Most Sustainable U.S. Companies (2024 and 2025), was named one of America’s Most Responsible Companies 2024 by Newsweek, ranked as one of the 100 Best ESG Companies by Investor’s Business Daily, and named the Sustainable Brand Leader in the decking category by Green Builder Media for the 16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consecutive year. For more information, visit Trex.com.</w:t>
      </w:r>
    </w:p>
    <w:p>
      <w:pPr>
        <w:spacing w:after="0" w:line="83" w:lineRule="exact"/>
        <w:rPr>
          <w:sz w:val="20"/>
          <w:szCs w:val="20"/>
          <w:color w:val="auto"/>
        </w:rPr>
      </w:pPr>
    </w:p>
    <w:p>
      <w:pPr>
        <w:ind w:left="300" w:right="359"/>
        <w:spacing w:after="0" w:line="234" w:lineRule="auto"/>
        <w:rPr>
          <w:sz w:val="20"/>
          <w:szCs w:val="20"/>
          <w:color w:val="auto"/>
        </w:rPr>
      </w:pPr>
      <w:r>
        <w:rPr>
          <w:rFonts w:ascii="Arial" w:cs="Arial" w:eastAsia="Arial" w:hAnsi="Arial"/>
          <w:sz w:val="19"/>
          <w:szCs w:val="19"/>
          <w:i w:val="1"/>
          <w:iCs w:val="1"/>
          <w:color w:val="auto"/>
        </w:rPr>
        <w:t>^Trex received the highest numerical score in the proprietary Lifestory Research 2021-2026 America’s Most Trusted</w:t>
      </w:r>
      <w:r>
        <w:rPr>
          <w:rFonts w:ascii="Arial" w:cs="Arial" w:eastAsia="Arial" w:hAnsi="Arial"/>
          <w:sz w:val="25"/>
          <w:szCs w:val="25"/>
          <w:i w:val="1"/>
          <w:iCs w:val="1"/>
          <w:color w:val="auto"/>
          <w:vertAlign w:val="superscript"/>
        </w:rPr>
        <w:t>®</w:t>
      </w:r>
      <w:r>
        <w:rPr>
          <w:rFonts w:ascii="Arial" w:cs="Arial" w:eastAsia="Arial" w:hAnsi="Arial"/>
          <w:sz w:val="19"/>
          <w:szCs w:val="19"/>
          <w:i w:val="1"/>
          <w:iCs w:val="1"/>
          <w:color w:val="auto"/>
        </w:rPr>
        <w:t xml:space="preserve"> Outdoor Decking studies. Study results are based on experiences and perceptions of people surveyed. Your experiences may vary. Visit www.lifestoryresearch.com.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1" w:lineRule="exact"/>
        <w:rPr>
          <w:sz w:val="20"/>
          <w:szCs w:val="20"/>
          <w:color w:val="auto"/>
        </w:rPr>
      </w:pPr>
    </w:p>
    <w:p>
      <w:pPr>
        <w:ind w:left="300" w:right="319"/>
        <w:spacing w:after="0"/>
        <w:rPr>
          <w:sz w:val="20"/>
          <w:szCs w:val="20"/>
          <w:color w:val="auto"/>
        </w:rPr>
      </w:pPr>
      <w:r>
        <w:rPr>
          <w:rFonts w:ascii="Arial" w:cs="Arial" w:eastAsia="Arial" w:hAnsi="Arial"/>
          <w:sz w:val="19"/>
          <w:szCs w:val="19"/>
          <w:color w:val="auto"/>
        </w:rPr>
        <w:t>The statements in this press release regarding the Company’s expected future performance and condition constitute “forward-looking statements” within the meaning of Section 27A of the Securities Act of 1933 and Section 21E of the Securities Exchange Act of 1934. These statements are subject to risks and uncertainties that could cause the Company’s actual operating results to differ materially. Such risks and uncertainties include, but are not limited to: the extent of market acceptance of the Company’s current and newly developed products, including fire-rated and PVC decking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oil prices, and tariffs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w:t>
      </w:r>
    </w:p>
    <w:p>
      <w:pPr>
        <w:spacing w:after="0" w:line="147"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39" w:right="1440" w:bottom="1440" w:gutter="0" w:footer="0" w:header="0"/>
        </w:sectPr>
      </w:pPr>
    </w:p>
    <w:bookmarkStart w:id="14" w:name="page15"/>
    <w:bookmarkEnd w:id="14"/>
    <w:p>
      <w:pPr>
        <w:ind w:left="300" w:right="299"/>
        <w:spacing w:after="0" w:line="228" w:lineRule="auto"/>
        <w:rPr>
          <w:sz w:val="20"/>
          <w:szCs w:val="20"/>
          <w:color w:val="auto"/>
        </w:rPr>
      </w:pPr>
      <w:r>
        <w:rPr>
          <w:rFonts w:ascii="Arial" w:cs="Arial" w:eastAsia="Arial" w:hAnsi="Arial"/>
          <w:sz w:val="20"/>
          <w:szCs w:val="20"/>
          <w:color w:val="auto"/>
        </w:rPr>
        <w:t>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global public health pandemics and geopolitical conflicts, including the ongoing conflict in the Middle East and its potential effect on consumer confidence; risks associated with the Company’s digital transformation initiatives and related costs; risks associated with the startup, construction, and operational transition of the Company’s Arkansas facility; and material adverse impacts related to labor shortages or increases in labor costs. Documents filed with the U.S. Securities and Exchange Commission by the Company, including in particular its latest annual report on Form 10-K and quarterly reports on Form 10-Q, discuss some of the important factors that could cause the Company’s actual results to differ materially from those expressed or implied in these forward-looking statements. The Company expressly disclaims any obligation to update or revise publicly any forward-looking statements, whether as a result of new information, future events or otherwise.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Contacts: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Lee Coker</w:t>
      </w:r>
    </w:p>
    <w:p>
      <w:pPr>
        <w:ind w:left="300"/>
        <w:spacing w:after="0" w:line="229" w:lineRule="auto"/>
        <w:rPr>
          <w:sz w:val="20"/>
          <w:szCs w:val="20"/>
          <w:color w:val="auto"/>
        </w:rPr>
      </w:pPr>
      <w:r>
        <w:rPr>
          <w:rFonts w:ascii="Arial" w:cs="Arial" w:eastAsia="Arial" w:hAnsi="Arial"/>
          <w:sz w:val="20"/>
          <w:szCs w:val="20"/>
          <w:color w:val="auto"/>
        </w:rPr>
        <w:t>VP, Corporate Development &amp; Investor Relations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540-542-6321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Eric Prouty</w:t>
      </w:r>
    </w:p>
    <w:p>
      <w:pPr>
        <w:ind w:left="300"/>
        <w:spacing w:after="0" w:line="229" w:lineRule="auto"/>
        <w:rPr>
          <w:sz w:val="20"/>
          <w:szCs w:val="20"/>
          <w:color w:val="auto"/>
        </w:rPr>
      </w:pPr>
      <w:r>
        <w:rPr>
          <w:rFonts w:ascii="Arial" w:cs="Arial" w:eastAsia="Arial" w:hAnsi="Arial"/>
          <w:sz w:val="20"/>
          <w:szCs w:val="20"/>
          <w:color w:val="auto"/>
        </w:rPr>
        <w:t>Casey Kotary</w:t>
      </w:r>
    </w:p>
    <w:p>
      <w:pPr>
        <w:ind w:left="300"/>
        <w:spacing w:after="0" w:line="226" w:lineRule="auto"/>
        <w:rPr>
          <w:sz w:val="20"/>
          <w:szCs w:val="20"/>
          <w:color w:val="auto"/>
        </w:rPr>
      </w:pPr>
      <w:r>
        <w:rPr>
          <w:rFonts w:ascii="Arial" w:cs="Arial" w:eastAsia="Arial" w:hAnsi="Arial"/>
          <w:sz w:val="20"/>
          <w:szCs w:val="20"/>
          <w:color w:val="auto"/>
        </w:rPr>
        <w:t>ADVIS</w:t>
      </w:r>
      <w:r>
        <w:rPr>
          <w:rFonts w:ascii="Arial" w:cs="Arial" w:eastAsia="Arial" w:hAnsi="Arial"/>
          <w:sz w:val="20"/>
          <w:szCs w:val="20"/>
          <w:b w:val="1"/>
          <w:bCs w:val="1"/>
          <w:color w:val="auto"/>
        </w:rPr>
        <w:t>IR</w:t>
      </w:r>
      <w:r>
        <w:rPr>
          <w:rFonts w:ascii="Arial" w:cs="Arial" w:eastAsia="Arial" w:hAnsi="Arial"/>
          <w:sz w:val="20"/>
          <w:szCs w:val="20"/>
          <w:color w:val="auto"/>
        </w:rPr>
        <w:t>Y Partners</w:t>
      </w:r>
    </w:p>
    <w:p>
      <w:pPr>
        <w:ind w:left="300"/>
        <w:spacing w:after="0" w:line="225" w:lineRule="auto"/>
        <w:rPr>
          <w:sz w:val="20"/>
          <w:szCs w:val="20"/>
          <w:color w:val="auto"/>
        </w:rPr>
      </w:pPr>
      <w:r>
        <w:rPr>
          <w:rFonts w:ascii="Arial" w:cs="Arial" w:eastAsia="Arial" w:hAnsi="Arial"/>
          <w:sz w:val="20"/>
          <w:szCs w:val="20"/>
          <w:color w:val="auto"/>
        </w:rPr>
        <w:t>212-750-5800</w:t>
      </w:r>
    </w:p>
    <w:p>
      <w:pPr>
        <w:ind w:left="300"/>
        <w:spacing w:after="0" w:line="225" w:lineRule="auto"/>
        <w:rPr>
          <w:sz w:val="20"/>
          <w:szCs w:val="20"/>
          <w:color w:val="auto"/>
        </w:rPr>
      </w:pPr>
      <w:r>
        <w:rPr>
          <w:rFonts w:ascii="Arial" w:cs="Arial" w:eastAsia="Arial" w:hAnsi="Arial"/>
          <w:sz w:val="20"/>
          <w:szCs w:val="20"/>
          <w:color w:val="auto"/>
        </w:rPr>
        <w:t>eric.prouty@advisiry.com</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casey.kotary@advisiry.com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626745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2026-05-07T05:32:58Z</dcterms:created>
  <dcterms:modified xsi:type="dcterms:W3CDTF">2026-05-07T05:32:58Z</dcterms:modified>
</cp:coreProperties>
</file>