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Trex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001-14649</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54-1910453</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2500 Trex Way</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Winchester, Virginia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22601</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540 542-6300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TREX</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Zachary C. Lauer as Senior Vice President, Chief Operations Officer</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April 28, 2026 the Board of Directors and the Compensation Committee of Trex Company, Inc. (the Company) appointed Zachary C. Lauer to serve as the Company’s Senior Vice President, Chief Operations Officer effective immediately. As the Senior Vice President, Chief Operations Officer, Mr. Lauer will be responsible for overseeing all aspects of the manufacturing, supply chain, engineering, and R&amp;D functions of the Company.</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Mr. Lauer, age 53, joined the Company in 2016. Most recently, he served as Senior Vice President, Supply Chain and Manufacturing since October 23, 2024. Prior to that, he held the roles of Group Vice President, Supply Chain and Manufacturing from June 14, 2024 to October 22, 2024, Group Vice President, Supply Chain from October 25, 2023 until October 21, 2024 and served in multiple leadership positions, including Vice President and Senior Director of the Company. Earlier in his career, Mr. Lauer held numerous senior roles in supply chain, manufacturing, and engineering at Newell-Rubbermaid Company and Federal-Mogul. Mr. Lauer received a Bachelor of Science degree in Aerospace Engineering from the United Stated Military Academy and a Master of Business Administration degree from Villanova University.</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are no family relationships existing between Mr. Lauer and any director or executive officer of the Company. There have been no transactions, and no transactions are currently proposed, in which the Company was or is to be a participant and in which Mr. Lauer or any member of his immediate family had or will have any interest, that are required to be disclosed by Item 404(a) of Regulation S-K. In addition, there are no arrangements or understandings between Mr. Lauer and any other persons pursuant to which Mr. Lauer was appointed to such position.</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Base Salary Compensation, Cash Incentive and Term Equity Incentives</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Mr. Lauer will receive an annual base salary of $493,000, which will be prorated for 2026, and will continue to be a participant in the Company’s Annual Cash Incentive Compensation Program and Long-Term Equity Incentive Compensation Program, as further described in the Company’s Proxy Statement filed March 16, 2026. Mr. Lauer’s target award under the Annual Cash Incentive Compensation Program will be 60% of his annual base salary, however, in the first quarter of 2027 contemporaneously with the payment of cash incentive to other employees, Mr. Lauer’s award shall be pro-rated for time spent in each role during 2026. Additionally, Mr. Lauer’s target award under the Long-Term Equity Incentive Compensation Program will be 135% of his annual base salary.</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 in Control Severance Agreement</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Mr. Lauer entered into the Company’s standard Form of Change in Control Severance Agreement between Trex Company, Inc. and Officers other than the Chief Executive Officer (the CIC Agreement) on July 9, 2019. Under this CIC Agreement, if within the period beginning 90 days before and ending two years after a change in control of the Company (as defined in the CIC Agreement), Mr. Lauer’s employment is terminated by the Company (other than For Cause or by reason of death or disability) or if he terminates his employment for Good Reason, Mr. Lauer will be entitled to receive severance benefits as detailed below:</w:t>
      </w:r>
    </w:p>
    <w:p>
      <w:pPr>
        <w:spacing w:after="0" w:line="79" w:lineRule="exact"/>
        <w:rPr>
          <w:sz w:val="20"/>
          <w:szCs w:val="20"/>
          <w:color w:val="auto"/>
        </w:rPr>
      </w:pPr>
    </w:p>
    <w:p>
      <w:pPr>
        <w:ind w:left="1140" w:right="180" w:firstLine="644"/>
        <w:spacing w:after="0" w:line="272" w:lineRule="auto"/>
        <w:tabs>
          <w:tab w:leader="none" w:pos="2211"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severance payment equal to 1.5 times the sum of (1) Mr. Lauer’s annual base salary (in effect immediately prior to the change in control or termination, whichever is greater), plus (2) the greater of (a) Mr. Lauer’s target annual cash incentive for the year immediately prior to the year in which the change in control occurs,</w:t>
      </w:r>
    </w:p>
    <w:p>
      <w:pPr>
        <w:spacing w:after="0" w:line="1" w:lineRule="exact"/>
        <w:rPr>
          <w:rFonts w:ascii="Times New Roman" w:cs="Times New Roman" w:eastAsia="Times New Roman" w:hAnsi="Times New Roman"/>
          <w:sz w:val="17"/>
          <w:szCs w:val="17"/>
          <w:color w:val="auto"/>
        </w:rPr>
      </w:pPr>
    </w:p>
    <w:p>
      <w:pPr>
        <w:ind w:left="1140" w:right="220" w:hanging="4"/>
        <w:spacing w:after="0" w:line="290" w:lineRule="auto"/>
        <w:tabs>
          <w:tab w:leader="none" w:pos="139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Lauer’s target annual cash incentive for the year of the termination of employment, or (c) Mr. Lauer’s actual annual cash incentive for the last fiscal year immediately prior to the year of the termination of employment; and</w:t>
      </w:r>
    </w:p>
    <w:p>
      <w:pPr>
        <w:spacing w:after="0" w:line="49" w:lineRule="exact"/>
        <w:rPr>
          <w:rFonts w:ascii="Times New Roman" w:cs="Times New Roman" w:eastAsia="Times New Roman" w:hAnsi="Times New Roman"/>
          <w:sz w:val="17"/>
          <w:szCs w:val="17"/>
          <w:color w:val="auto"/>
        </w:rPr>
      </w:pPr>
    </w:p>
    <w:p>
      <w:pPr>
        <w:ind w:left="1140" w:right="220" w:firstLine="644"/>
        <w:spacing w:after="0" w:line="261" w:lineRule="auto"/>
        <w:tabs>
          <w:tab w:leader="none" w:pos="221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group health and dental insurance, and group life insurance, on the same terms and conditions as though Mr. Lauer had remained an active employee (or payment of the necessary amount to obtain equivalent coverage if Company coverage is not possible), for the shorter of 18 months or until coverage is obtained from a new employer.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 of the CIC Agreement, “cause” and “good reason” are defined as follows:</w:t>
      </w:r>
    </w:p>
    <w:p>
      <w:pPr>
        <w:spacing w:after="0" w:line="225" w:lineRule="exact"/>
        <w:rPr>
          <w:sz w:val="20"/>
          <w:szCs w:val="20"/>
          <w:color w:val="auto"/>
        </w:rPr>
      </w:pPr>
    </w:p>
    <w:p>
      <w:pPr>
        <w:ind w:left="1100" w:firstLine="641"/>
        <w:spacing w:after="0" w:line="261" w:lineRule="auto"/>
        <w:tabs>
          <w:tab w:leader="none" w:pos="22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includes Mr. Lauer’s willful or grossly negligent misconduct that is materially injurious to the Company, embezzlement or misappropriation of funds or property of the Company, conviction of a felony or any crime involving fraud, dishonesty, moral turpitude or breach of trust, or willful failure or refusal to devote full business time and attention to the performance of duties.</w:t>
      </w:r>
    </w:p>
    <w:p>
      <w:pPr>
        <w:spacing w:after="0" w:line="179" w:lineRule="exact"/>
        <w:rPr>
          <w:rFonts w:ascii="Times New Roman" w:cs="Times New Roman" w:eastAsia="Times New Roman" w:hAnsi="Times New Roman"/>
          <w:sz w:val="18"/>
          <w:szCs w:val="18"/>
          <w:color w:val="auto"/>
        </w:rPr>
      </w:pPr>
    </w:p>
    <w:p>
      <w:pPr>
        <w:ind w:left="1100" w:right="260" w:firstLine="641"/>
        <w:spacing w:after="0" w:line="261" w:lineRule="auto"/>
        <w:tabs>
          <w:tab w:leader="none" w:pos="22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includes a material and adverse change in Mr. Lauer’s status or position with the Company, a 10% or greater reduction in his aggregate base salary and targeted annual incentive other than as part of general reduction in executive compensation, the failure by the Company or any successor to continue in effect any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455930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2" w:name="page3"/>
    <w:bookmarkEnd w:id="2"/>
    <w:p>
      <w:pPr>
        <w:ind w:left="1760" w:right="820"/>
        <w:spacing w:after="0" w:line="266" w:lineRule="auto"/>
        <w:rPr>
          <w:sz w:val="20"/>
          <w:szCs w:val="20"/>
          <w:color w:val="auto"/>
        </w:rPr>
      </w:pPr>
      <w:r>
        <w:rPr>
          <w:rFonts w:ascii="Times New Roman" w:cs="Times New Roman" w:eastAsia="Times New Roman" w:hAnsi="Times New Roman"/>
          <w:sz w:val="18"/>
          <w:szCs w:val="18"/>
          <w:color w:val="auto"/>
        </w:rPr>
        <w:t>benefit plan in which he is participating other than as a result of normal expiration of such plan in accordance with its terms, or the relocation of his office more than 50 miles from the current office and further than his then-current residence.</w:t>
      </w:r>
    </w:p>
    <w:p>
      <w:pPr>
        <w:spacing w:after="0" w:line="68" w:lineRule="exact"/>
        <w:rPr>
          <w:sz w:val="20"/>
          <w:szCs w:val="20"/>
          <w:color w:val="auto"/>
        </w:rPr>
      </w:pPr>
    </w:p>
    <w:p>
      <w:pPr>
        <w:ind w:left="660" w:right="960" w:firstLine="648"/>
        <w:spacing w:after="0" w:line="282" w:lineRule="auto"/>
        <w:rPr>
          <w:sz w:val="20"/>
          <w:szCs w:val="20"/>
          <w:color w:val="auto"/>
        </w:rPr>
      </w:pPr>
      <w:r>
        <w:rPr>
          <w:rFonts w:ascii="Times New Roman" w:cs="Times New Roman" w:eastAsia="Times New Roman" w:hAnsi="Times New Roman"/>
          <w:sz w:val="18"/>
          <w:szCs w:val="18"/>
          <w:color w:val="auto"/>
        </w:rPr>
        <w:t>To receive the payment and benefits under the CIC Agreement, Mr. Lauer must, among other things, execute a customary release and comply with customary restrictive covenants set forth in his agreements with the Company.</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Severance Agreement</w:t>
      </w:r>
    </w:p>
    <w:p>
      <w:pPr>
        <w:spacing w:after="0" w:line="121" w:lineRule="exact"/>
        <w:rPr>
          <w:sz w:val="20"/>
          <w:szCs w:val="20"/>
          <w:color w:val="auto"/>
        </w:rPr>
      </w:pPr>
    </w:p>
    <w:p>
      <w:pPr>
        <w:ind w:left="660" w:right="820"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and Mr. Lauer entered into the Company’s standard Form of Severance Agreement between Trex Company, Inc. and executive officers other than the Chief Executive Officer (the Severance Agreement) on July 27, 2023 providing for the payment of severance compensation and benefits to him if the Company terminates his employment without Cause or if he resigns for Good Reason. For this purpose, Cause and Good Reason are defined in the same manner as in the CIC Agreement discussed above. Upon such a termination, Mr. Lauer will be entitled to receive the following:</w:t>
      </w:r>
    </w:p>
    <w:p>
      <w:pPr>
        <w:spacing w:after="0" w:line="75" w:lineRule="exact"/>
        <w:rPr>
          <w:sz w:val="20"/>
          <w:szCs w:val="20"/>
          <w:color w:val="auto"/>
        </w:rPr>
      </w:pPr>
    </w:p>
    <w:p>
      <w:pPr>
        <w:ind w:left="1760" w:right="660" w:firstLine="641"/>
        <w:spacing w:after="0" w:line="261" w:lineRule="auto"/>
        <w:tabs>
          <w:tab w:leader="none" w:pos="28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payment equal to 1 times the sum of (1) Mr. Lauer’s base salary then in effect, plus (2) an amount equal to the greater of (a) Mr. Lauer’s targeted annual cash incentive for the year immediately prior to the year in which his employment terminates, or (b) Mr. Lauer’s actual annual cash incentive earned for the preceding year;</w:t>
      </w:r>
    </w:p>
    <w:p>
      <w:pPr>
        <w:spacing w:after="0" w:line="71" w:lineRule="exact"/>
        <w:rPr>
          <w:rFonts w:ascii="Times New Roman" w:cs="Times New Roman" w:eastAsia="Times New Roman" w:hAnsi="Times New Roman"/>
          <w:sz w:val="18"/>
          <w:szCs w:val="18"/>
          <w:color w:val="auto"/>
        </w:rPr>
      </w:pPr>
    </w:p>
    <w:p>
      <w:pPr>
        <w:jc w:val="both"/>
        <w:ind w:left="1760" w:right="900" w:firstLine="641"/>
        <w:spacing w:after="0" w:line="261" w:lineRule="auto"/>
        <w:tabs>
          <w:tab w:leader="none" w:pos="28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and dental plan benefits on the same terms and conditions as though the covered executive had remained an active employee (or payment of the necessary amount to obtain equivalent coverage if Company coverage is not possible), for the shorter of 12 months or until equivalent coverage is obtained from a new employer; and</w:t>
      </w:r>
    </w:p>
    <w:p>
      <w:pPr>
        <w:spacing w:after="0" w:line="71" w:lineRule="exact"/>
        <w:rPr>
          <w:rFonts w:ascii="Times New Roman" w:cs="Times New Roman" w:eastAsia="Times New Roman" w:hAnsi="Times New Roman"/>
          <w:sz w:val="18"/>
          <w:szCs w:val="18"/>
          <w:color w:val="auto"/>
        </w:rPr>
      </w:pPr>
    </w:p>
    <w:p>
      <w:pPr>
        <w:jc w:val="both"/>
        <w:ind w:left="1760" w:right="840" w:firstLine="641"/>
        <w:spacing w:after="0" w:line="266" w:lineRule="auto"/>
        <w:tabs>
          <w:tab w:leader="none" w:pos="28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outstanding long-term equity incentive awards, including, but not limited to, stock options, stock appreciation rights, restricted stock, restricted stock units and performance shares (at the targeted payment level).</w:t>
      </w:r>
    </w:p>
    <w:p>
      <w:pPr>
        <w:spacing w:after="0" w:line="176" w:lineRule="exact"/>
        <w:rPr>
          <w:sz w:val="20"/>
          <w:szCs w:val="20"/>
          <w:color w:val="auto"/>
        </w:rPr>
      </w:pPr>
    </w:p>
    <w:p>
      <w:pPr>
        <w:ind w:left="660" w:right="1300" w:firstLine="648"/>
        <w:spacing w:after="0" w:line="282" w:lineRule="auto"/>
        <w:rPr>
          <w:sz w:val="20"/>
          <w:szCs w:val="20"/>
          <w:color w:val="auto"/>
        </w:rPr>
      </w:pPr>
      <w:r>
        <w:rPr>
          <w:rFonts w:ascii="Times New Roman" w:cs="Times New Roman" w:eastAsia="Times New Roman" w:hAnsi="Times New Roman"/>
          <w:sz w:val="18"/>
          <w:szCs w:val="18"/>
          <w:color w:val="auto"/>
        </w:rPr>
        <w:t>To receive the payment and benefits under the Severance Agreement, Mr. Lauer must, among other things, execute a customary release and comply with customary restrictive covenants set forth in his agreements with the Company.</w:t>
      </w:r>
    </w:p>
    <w:p>
      <w:pPr>
        <w:spacing w:after="0" w:line="162" w:lineRule="exact"/>
        <w:rPr>
          <w:sz w:val="20"/>
          <w:szCs w:val="20"/>
          <w:color w:val="auto"/>
        </w:rPr>
      </w:pPr>
    </w:p>
    <w:p>
      <w:pPr>
        <w:ind w:left="660" w:right="680" w:firstLine="648"/>
        <w:spacing w:after="0" w:line="256" w:lineRule="auto"/>
        <w:rPr>
          <w:sz w:val="20"/>
          <w:szCs w:val="20"/>
          <w:color w:val="auto"/>
        </w:rPr>
      </w:pPr>
      <w:r>
        <w:rPr>
          <w:rFonts w:ascii="Times New Roman" w:cs="Times New Roman" w:eastAsia="Times New Roman" w:hAnsi="Times New Roman"/>
          <w:sz w:val="18"/>
          <w:szCs w:val="18"/>
          <w:color w:val="auto"/>
        </w:rPr>
        <w:t>The foregoing description of Mr. Lauer’s CIC Agreement and Severance Agreement with the Company is qualified in its entirety by reference to the Form of Change in Control Severance Agreement between Trex Company, Inc. and Officers other than the Chief Executive Officer filed as Exhibit 10.16 to the Company’s Annual Report on Form 10-K for the year ending December 31, 2016 filed on February 21, 2017,the Form of Severance Agreement between Trex Company, Inc. and Officers other than the Chief Executive Officer, filed as Exhibit 10.2 to the Company’s Quarterly Report on Form 10-Q for the quarter ending on June 30, 2025 filed on August 4, 2025.</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left="660" w:right="680" w:firstLine="648"/>
        <w:spacing w:after="0" w:line="261" w:lineRule="auto"/>
        <w:rPr>
          <w:sz w:val="20"/>
          <w:szCs w:val="20"/>
          <w:color w:val="auto"/>
        </w:rPr>
      </w:pPr>
      <w:r>
        <w:rPr>
          <w:rFonts w:ascii="Times New Roman" w:cs="Times New Roman" w:eastAsia="Times New Roman" w:hAnsi="Times New Roman"/>
          <w:sz w:val="18"/>
          <w:szCs w:val="18"/>
          <w:color w:val="auto"/>
        </w:rPr>
        <w:t>Trex held its Annual Meeting of Stockholders on April 28, 2026. Only holders of Trex common stock at the close of business on March 6, 2026 (Record Date) were entitled to vote at the Annual Meeting. As of the Record Date, there were 103,889,031 shares of common stock entitled to vote. A total of 89,603,746 shares of common stock (86.25%), constituting a quorum, were represented in person or by valid proxies at the Annual Meeting.</w:t>
      </w:r>
    </w:p>
    <w:p>
      <w:pPr>
        <w:spacing w:after="0" w:line="180" w:lineRule="exact"/>
        <w:rPr>
          <w:sz w:val="20"/>
          <w:szCs w:val="20"/>
          <w:color w:val="auto"/>
        </w:rPr>
      </w:pPr>
    </w:p>
    <w:p>
      <w:pPr>
        <w:ind w:left="660" w:right="960" w:firstLine="648"/>
        <w:spacing w:after="0" w:line="282" w:lineRule="auto"/>
        <w:rPr>
          <w:sz w:val="20"/>
          <w:szCs w:val="20"/>
          <w:color w:val="auto"/>
        </w:rPr>
      </w:pPr>
      <w:r>
        <w:rPr>
          <w:rFonts w:ascii="Times New Roman" w:cs="Times New Roman" w:eastAsia="Times New Roman" w:hAnsi="Times New Roman"/>
          <w:sz w:val="18"/>
          <w:szCs w:val="18"/>
          <w:color w:val="auto"/>
        </w:rPr>
        <w:t>The stockholders voted on three proposals at the Annual Meeting. The proposals are described in detail in the Company’s definitive proxy statement dated March 16, 2026. The final results for the votes regarding each proposal are set forth below.</w:t>
      </w:r>
    </w:p>
    <w:p>
      <w:pPr>
        <w:spacing w:after="0" w:line="158" w:lineRule="exact"/>
        <w:rPr>
          <w:sz w:val="20"/>
          <w:szCs w:val="20"/>
          <w:color w:val="auto"/>
        </w:rPr>
      </w:pPr>
    </w:p>
    <w:p>
      <w:pPr>
        <w:ind w:left="660" w:right="1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Trex stockholders elected four directors to the Board to serve for a three-year term until the 2029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until their successors are duly elected and qualified. The votes regarding this proposal were as follows:</w:t>
      </w:r>
    </w:p>
    <w:p>
      <w:pPr>
        <w:spacing w:after="0" w:line="155" w:lineRule="exact"/>
        <w:rPr>
          <w:sz w:val="20"/>
          <w:szCs w:val="20"/>
          <w:color w:val="auto"/>
        </w:rPr>
      </w:pPr>
    </w:p>
    <w:tbl>
      <w:tblPr>
        <w:tblLayout w:type="fixed"/>
        <w:tblInd w:w="140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80" w:type="dxa"/>
            <w:vAlign w:val="bottom"/>
          </w:tcPr>
          <w:p>
            <w:pPr>
              <w:spacing w:after="0"/>
              <w:rPr>
                <w:sz w:val="20"/>
                <w:szCs w:val="20"/>
                <w:color w:val="auto"/>
              </w:rPr>
            </w:pPr>
          </w:p>
        </w:tc>
      </w:tr>
      <w:tr>
        <w:trPr>
          <w:trHeight w:val="210"/>
        </w:trPr>
        <w:tc>
          <w:tcPr>
            <w:tcW w:w="19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Jay M. Gratz</w:t>
            </w:r>
          </w:p>
        </w:tc>
        <w:tc>
          <w:tcPr>
            <w:tcW w:w="136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8"/>
                <w:szCs w:val="18"/>
                <w:color w:val="auto"/>
                <w:w w:val="98"/>
              </w:rPr>
              <w:t>77,422,353</w:t>
            </w:r>
          </w:p>
        </w:tc>
        <w:tc>
          <w:tcPr>
            <w:tcW w:w="15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4,146,966</w:t>
            </w:r>
          </w:p>
        </w:tc>
        <w:tc>
          <w:tcPr>
            <w:tcW w:w="15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68,616</w:t>
            </w:r>
          </w:p>
        </w:tc>
        <w:tc>
          <w:tcPr>
            <w:tcW w:w="17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7,965,811</w:t>
            </w:r>
          </w:p>
        </w:tc>
        <w:tc>
          <w:tcPr>
            <w:tcW w:w="80" w:type="dxa"/>
            <w:vAlign w:val="bottom"/>
            <w:shd w:val="clear" w:color="auto" w:fill="DBE5F1"/>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 Andrew Rose</w:t>
            </w:r>
          </w:p>
        </w:tc>
        <w:tc>
          <w:tcPr>
            <w:tcW w:w="13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80,093,491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1,472,318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72,126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7,965,811</w:t>
            </w:r>
          </w:p>
        </w:tc>
        <w:tc>
          <w:tcPr>
            <w:tcW w:w="80" w:type="dxa"/>
            <w:vAlign w:val="bottom"/>
          </w:tcPr>
          <w:p>
            <w:pPr>
              <w:spacing w:after="0"/>
              <w:rPr>
                <w:sz w:val="18"/>
                <w:szCs w:val="18"/>
                <w:color w:val="auto"/>
              </w:rPr>
            </w:pPr>
          </w:p>
        </w:tc>
      </w:tr>
      <w:tr>
        <w:trPr>
          <w:trHeight w:val="216"/>
        </w:trPr>
        <w:tc>
          <w:tcPr>
            <w:tcW w:w="19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Irene Tasi</w:t>
            </w:r>
          </w:p>
        </w:tc>
        <w:tc>
          <w:tcPr>
            <w:tcW w:w="136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8"/>
                <w:szCs w:val="18"/>
                <w:color w:val="auto"/>
                <w:w w:val="98"/>
              </w:rPr>
              <w:t>80,111,535</w:t>
            </w:r>
          </w:p>
        </w:tc>
        <w:tc>
          <w:tcPr>
            <w:tcW w:w="15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1,460,409</w:t>
            </w:r>
          </w:p>
        </w:tc>
        <w:tc>
          <w:tcPr>
            <w:tcW w:w="15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65,991</w:t>
            </w:r>
          </w:p>
        </w:tc>
        <w:tc>
          <w:tcPr>
            <w:tcW w:w="17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7,965,811</w:t>
            </w:r>
          </w:p>
        </w:tc>
        <w:tc>
          <w:tcPr>
            <w:tcW w:w="80" w:type="dxa"/>
            <w:vAlign w:val="bottom"/>
            <w:shd w:val="clear" w:color="auto" w:fill="DBE5F1"/>
          </w:tcPr>
          <w:p>
            <w:pPr>
              <w:spacing w:after="0"/>
              <w:rPr>
                <w:sz w:val="18"/>
                <w:szCs w:val="18"/>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Gerald Volas</w:t>
            </w:r>
          </w:p>
        </w:tc>
        <w:tc>
          <w:tcPr>
            <w:tcW w:w="13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74,080,206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7,488,206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69,523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7,965,811</w:t>
            </w:r>
          </w:p>
        </w:tc>
        <w:tc>
          <w:tcPr>
            <w:tcW w:w="80" w:type="dxa"/>
            <w:vAlign w:val="bottom"/>
          </w:tcPr>
          <w:p>
            <w:pPr>
              <w:spacing w:after="0"/>
              <w:rPr>
                <w:sz w:val="20"/>
                <w:szCs w:val="20"/>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Trex stockholders approved, on an advisory basis, the compensation of the Company’s executive officers named in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Company’s definitive proxy statement dated March 16, 2026. The votes regarding this proposal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6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400" w:type="dxa"/>
            <w:vAlign w:val="bottom"/>
          </w:tcPr>
          <w:p>
            <w:pPr>
              <w:spacing w:after="0"/>
              <w:rPr>
                <w:sz w:val="19"/>
                <w:szCs w:val="19"/>
                <w:color w:val="auto"/>
              </w:rPr>
            </w:pPr>
          </w:p>
        </w:tc>
        <w:tc>
          <w:tcPr>
            <w:tcW w:w="20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44,939,698</w:t>
            </w:r>
          </w:p>
        </w:tc>
        <w:tc>
          <w:tcPr>
            <w:tcW w:w="20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34,703,577</w:t>
            </w:r>
          </w:p>
        </w:tc>
        <w:tc>
          <w:tcPr>
            <w:tcW w:w="18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1,994,660</w:t>
            </w:r>
          </w:p>
        </w:tc>
        <w:tc>
          <w:tcPr>
            <w:tcW w:w="22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7,965,811</w:t>
            </w:r>
          </w:p>
        </w:tc>
        <w:tc>
          <w:tcPr>
            <w:tcW w:w="1380" w:type="dxa"/>
            <w:vAlign w:val="bottom"/>
          </w:tcPr>
          <w:p>
            <w:pPr>
              <w:spacing w:after="0"/>
              <w:rPr>
                <w:sz w:val="19"/>
                <w:szCs w:val="19"/>
                <w:color w:val="auto"/>
              </w:rPr>
            </w:pPr>
          </w:p>
        </w:tc>
      </w:tr>
      <w:tr>
        <w:trPr>
          <w:trHeight w:val="961"/>
        </w:trPr>
        <w:tc>
          <w:tcPr>
            <w:tcW w:w="14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5" w:right="439" w:bottom="1068" w:gutter="0" w:footer="0" w:header="0"/>
        </w:sectPr>
      </w:pPr>
    </w:p>
    <w:bookmarkStart w:id="3" w:name="page4"/>
    <w:bookmarkEnd w:id="3"/>
    <w:p>
      <w:pPr>
        <w:ind w:left="660" w:right="1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Trex stockholders ratified the selection of Ernst &amp; Young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ended December 31, 2026. The votes regarding this proposal were as follows:</w:t>
      </w:r>
    </w:p>
    <w:p>
      <w:pPr>
        <w:spacing w:after="0" w:line="371" w:lineRule="exact"/>
        <w:rPr>
          <w:sz w:val="20"/>
          <w:szCs w:val="20"/>
          <w:color w:val="auto"/>
        </w:rPr>
      </w:pPr>
    </w:p>
    <w:tbl>
      <w:tblPr>
        <w:tblLayout w:type="fixed"/>
        <w:tblInd w:w="1400" w:type="dxa"/>
        <w:tblCellMar>
          <w:top w:w="0" w:type="dxa"/>
          <w:left w:w="0" w:type="dxa"/>
          <w:bottom w:w="0" w:type="dxa"/>
          <w:right w:w="0" w:type="dxa"/>
        </w:tblCellMar>
      </w:tblPr>
      <w:tr>
        <w:trPr>
          <w:trHeight w:val="238"/>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2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85,831,316</w:t>
            </w:r>
          </w:p>
        </w:tc>
        <w:tc>
          <w:tcPr>
            <w:tcW w:w="2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3,694,637</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77,793</w:t>
            </w:r>
          </w:p>
        </w:tc>
        <w:tc>
          <w:tcPr>
            <w:tcW w:w="22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660" w:right="1040" w:firstLine="648"/>
        <w:spacing w:after="0" w:line="282" w:lineRule="auto"/>
        <w:rPr>
          <w:sz w:val="20"/>
          <w:szCs w:val="20"/>
          <w:color w:val="auto"/>
        </w:rPr>
      </w:pPr>
      <w:r>
        <w:rPr>
          <w:rFonts w:ascii="Times New Roman" w:cs="Times New Roman" w:eastAsia="Times New Roman" w:hAnsi="Times New Roman"/>
          <w:sz w:val="18"/>
          <w:szCs w:val="18"/>
          <w:color w:val="auto"/>
        </w:rPr>
        <w:t>On May 4, 2026, the Company issued a press release announcing the appointment of Mr. Lauer as Senior Vice President Chief Operations Officer. A copy of this press release is furnished as Exhibit 99.1 hereto.</w:t>
      </w:r>
    </w:p>
    <w:p>
      <w:pPr>
        <w:spacing w:after="0" w:line="162" w:lineRule="exact"/>
        <w:rPr>
          <w:sz w:val="20"/>
          <w:szCs w:val="20"/>
          <w:color w:val="auto"/>
        </w:rPr>
      </w:pPr>
    </w:p>
    <w:p>
      <w:pPr>
        <w:ind w:left="660" w:right="780" w:firstLine="648"/>
        <w:spacing w:after="0" w:line="261" w:lineRule="auto"/>
        <w:rPr>
          <w:sz w:val="20"/>
          <w:szCs w:val="20"/>
          <w:color w:val="auto"/>
        </w:rPr>
      </w:pPr>
      <w:r>
        <w:rPr>
          <w:rFonts w:ascii="Times New Roman" w:cs="Times New Roman" w:eastAsia="Times New Roman" w:hAnsi="Times New Roman"/>
          <w:sz w:val="18"/>
          <w:szCs w:val="18"/>
          <w:color w:val="auto"/>
        </w:rPr>
        <w:t>The information provided pursuant to Item 7.01, including Exhibit 99.1 attached hereto, shall not be deemed "filed" for purposes of Section 18 of the Securities Exchange Act of 1934 (the "Exchange Act"), or otherwise subject to the liabilities of that section, nor shall it be deemed incorporated by reference into any filing under the Securities Act of 1933 or the Exchange Act, except as shall be expressly set forth by specific reference in such a filing.</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2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020" w:type="dxa"/>
            <w:vAlign w:val="bottom"/>
            <w:gridSpan w:val="2"/>
          </w:tcPr>
          <w:p>
            <w:pPr>
              <w:spacing w:after="0"/>
              <w:rPr>
                <w:sz w:val="17"/>
                <w:szCs w:val="17"/>
                <w:color w:val="auto"/>
              </w:rPr>
            </w:pPr>
          </w:p>
        </w:tc>
      </w:tr>
      <w:tr>
        <w:trPr>
          <w:trHeight w:val="196"/>
        </w:trPr>
        <w:tc>
          <w:tcPr>
            <w:tcW w:w="19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7"/>
                <w:szCs w:val="17"/>
                <w:color w:val="auto"/>
              </w:rPr>
            </w:pPr>
          </w:p>
        </w:tc>
        <w:tc>
          <w:tcPr>
            <w:tcW w:w="89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4, 2026 announcing the appointment of Zachary C. Lauer as Chief Operations Officer.</w:t>
            </w:r>
          </w:p>
        </w:tc>
      </w:tr>
      <w:tr>
        <w:trPr>
          <w:trHeight w:val="999"/>
        </w:trPr>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7160" w:type="dxa"/>
            <w:vAlign w:val="bottom"/>
            <w:tcBorders>
              <w:top w:val="single" w:sz="8" w:color="0000FF"/>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TREX COMPANY, INC.</w:t>
            </w:r>
          </w:p>
        </w:tc>
      </w:tr>
      <w:tr>
        <w:trPr>
          <w:trHeight w:val="580"/>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4, 2026</w:t>
            </w:r>
          </w:p>
        </w:tc>
        <w:tc>
          <w:tcPr>
            <w:tcW w:w="20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rithvi</w:t>
            </w:r>
            <w:r>
              <w:rPr>
                <w:rFonts w:ascii="Times New Roman" w:cs="Times New Roman" w:eastAsia="Times New Roman" w:hAnsi="Times New Roman"/>
                <w:sz w:val="18"/>
                <w:szCs w:val="18"/>
                <w:color w:val="auto"/>
              </w:rPr>
              <w:t xml:space="preserve"> S. G</w:t>
            </w:r>
            <w:r>
              <w:rPr>
                <w:rFonts w:ascii="Times New Roman" w:cs="Times New Roman" w:eastAsia="Times New Roman" w:hAnsi="Times New Roman"/>
                <w:sz w:val="12"/>
                <w:szCs w:val="12"/>
                <w:color w:val="auto"/>
              </w:rPr>
              <w:t>andhi</w:t>
            </w:r>
          </w:p>
        </w:tc>
      </w:tr>
      <w:tr>
        <w:trPr>
          <w:trHeight w:val="201"/>
        </w:trPr>
        <w:tc>
          <w:tcPr>
            <w:tcW w:w="3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4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Prithvi S. Gandhi</w:t>
            </w:r>
          </w:p>
        </w:tc>
        <w:tc>
          <w:tcPr>
            <w:tcW w:w="660" w:type="dxa"/>
            <w:vAlign w:val="bottom"/>
          </w:tcPr>
          <w:p>
            <w:pPr>
              <w:spacing w:after="0"/>
              <w:rPr>
                <w:sz w:val="17"/>
                <w:szCs w:val="17"/>
                <w:color w:val="auto"/>
              </w:rPr>
            </w:pPr>
          </w:p>
        </w:tc>
      </w:tr>
      <w:tr>
        <w:trPr>
          <w:trHeight w:val="238"/>
        </w:trPr>
        <w:tc>
          <w:tcPr>
            <w:tcW w:w="3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r>
        <w:trPr>
          <w:trHeight w:val="1141"/>
        </w:trPr>
        <w:tc>
          <w:tcPr>
            <w:tcW w:w="38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5" w:name="page6"/>
    <w:bookmarkEnd w:id="5"/>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95123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2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233" w:lineRule="exact"/>
        <w:rPr>
          <w:sz w:val="20"/>
          <w:szCs w:val="20"/>
          <w:color w:val="auto"/>
        </w:rPr>
      </w:pPr>
    </w:p>
    <w:p>
      <w:pPr>
        <w:ind w:left="300" w:right="1019"/>
        <w:spacing w:after="0" w:line="262" w:lineRule="auto"/>
        <w:rPr>
          <w:sz w:val="20"/>
          <w:szCs w:val="20"/>
          <w:color w:val="auto"/>
        </w:rPr>
      </w:pPr>
      <w:r>
        <w:rPr>
          <w:rFonts w:ascii="Times New Roman" w:cs="Times New Roman" w:eastAsia="Times New Roman" w:hAnsi="Times New Roman"/>
          <w:sz w:val="22"/>
          <w:szCs w:val="22"/>
          <w:b w:val="1"/>
          <w:bCs w:val="1"/>
          <w:color w:val="auto"/>
        </w:rPr>
        <w:t>TREX COMPANY APPOINTS ZACHARY C. LAUER AS CHIEF OPERATIONS OFFICER</w:t>
      </w:r>
    </w:p>
    <w:p>
      <w:pPr>
        <w:spacing w:after="0" w:line="18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21"/>
          <w:szCs w:val="21"/>
          <w:color w:val="auto"/>
        </w:rPr>
        <w:t>WINCHESTER, Va.--(BUSINESS WIRE)--May 4, 2026-- Trex Company, Inc. [NYSE:TREX], the world’s largest manufacturer of wood-alternative composite decking and railing, and a leader in high-performance, low-maintenance outdoor living products, today announced the appointment of Zachary C. Lauer as Senior Vice President, Chief Operations Officer.</w:t>
      </w:r>
    </w:p>
    <w:p>
      <w:pPr>
        <w:spacing w:after="0" w:line="189" w:lineRule="exact"/>
        <w:rPr>
          <w:sz w:val="20"/>
          <w:szCs w:val="20"/>
          <w:color w:val="auto"/>
        </w:rPr>
      </w:pPr>
    </w:p>
    <w:p>
      <w:pPr>
        <w:ind w:left="300" w:right="319"/>
        <w:spacing w:after="0" w:line="238" w:lineRule="auto"/>
        <w:rPr>
          <w:sz w:val="20"/>
          <w:szCs w:val="20"/>
          <w:color w:val="auto"/>
        </w:rPr>
      </w:pPr>
      <w:r>
        <w:rPr>
          <w:rFonts w:ascii="Times New Roman" w:cs="Times New Roman" w:eastAsia="Times New Roman" w:hAnsi="Times New Roman"/>
          <w:sz w:val="22"/>
          <w:szCs w:val="22"/>
          <w:color w:val="auto"/>
        </w:rPr>
        <w:t>Lauer brings more than two decades of experience in operations, supply chain, and manufacturing leadership, including ten years with Trex. Most recently, he served as Senior Vice President, Supply Chain and Manufacturing. Prior to that, he held the role of Group Vice President, Supply Chain, and served in multiple leadership positions, including Vice President and Senior Director of the Company.</w:t>
      </w:r>
    </w:p>
    <w:p>
      <w:pPr>
        <w:spacing w:after="0" w:line="204" w:lineRule="exact"/>
        <w:rPr>
          <w:sz w:val="20"/>
          <w:szCs w:val="20"/>
          <w:color w:val="auto"/>
        </w:rPr>
      </w:pPr>
    </w:p>
    <w:p>
      <w:pPr>
        <w:ind w:left="300" w:right="619"/>
        <w:spacing w:after="0" w:line="238" w:lineRule="auto"/>
        <w:rPr>
          <w:sz w:val="20"/>
          <w:szCs w:val="20"/>
          <w:color w:val="auto"/>
        </w:rPr>
      </w:pPr>
      <w:r>
        <w:rPr>
          <w:rFonts w:ascii="Times New Roman" w:cs="Times New Roman" w:eastAsia="Times New Roman" w:hAnsi="Times New Roman"/>
          <w:sz w:val="22"/>
          <w:szCs w:val="22"/>
          <w:color w:val="auto"/>
        </w:rPr>
        <w:t>“Zach’s deep operational expertise and strong track record of leadership make him the ideal choice to serve as our Chief Operations Officer,” said Adam Zambanini, President and Chief Executive Officer of Trex. “His ability to drive performance across manufacturing and supply chain while fostering innovation in R&amp;D will be critical as we execute on our strategic priorities.”</w:t>
      </w:r>
    </w:p>
    <w:p>
      <w:pPr>
        <w:spacing w:after="0" w:line="204" w:lineRule="exact"/>
        <w:rPr>
          <w:sz w:val="20"/>
          <w:szCs w:val="20"/>
          <w:color w:val="auto"/>
        </w:rPr>
      </w:pPr>
    </w:p>
    <w:p>
      <w:pPr>
        <w:ind w:left="300" w:right="859"/>
        <w:spacing w:after="0" w:line="239" w:lineRule="auto"/>
        <w:rPr>
          <w:sz w:val="20"/>
          <w:szCs w:val="20"/>
          <w:color w:val="auto"/>
        </w:rPr>
      </w:pPr>
      <w:r>
        <w:rPr>
          <w:rFonts w:ascii="Times New Roman" w:cs="Times New Roman" w:eastAsia="Times New Roman" w:hAnsi="Times New Roman"/>
          <w:sz w:val="22"/>
          <w:szCs w:val="22"/>
          <w:color w:val="auto"/>
        </w:rPr>
        <w:t>Before joining Trex, Lauer held numerous senior roles in supply chain, manufacturing, and engineering at Newell-Rubbermaid Company and Federal-Mogul. He holds an MBA from Villanova University and a BS in Aerospace Engineering from the United States Military Academy.</w:t>
      </w:r>
    </w:p>
    <w:p>
      <w:pPr>
        <w:spacing w:after="0" w:line="207" w:lineRule="exact"/>
        <w:rPr>
          <w:sz w:val="20"/>
          <w:szCs w:val="20"/>
          <w:color w:val="auto"/>
        </w:rPr>
      </w:pPr>
    </w:p>
    <w:p>
      <w:pPr>
        <w:ind w:left="300" w:right="639"/>
        <w:spacing w:after="0" w:line="244" w:lineRule="auto"/>
        <w:rPr>
          <w:sz w:val="20"/>
          <w:szCs w:val="20"/>
          <w:color w:val="auto"/>
        </w:rPr>
      </w:pPr>
      <w:r>
        <w:rPr>
          <w:rFonts w:ascii="Times New Roman" w:cs="Times New Roman" w:eastAsia="Times New Roman" w:hAnsi="Times New Roman"/>
          <w:sz w:val="22"/>
          <w:szCs w:val="22"/>
          <w:color w:val="auto"/>
        </w:rPr>
        <w:t>“I’m honored to take on this expanded role at Trex,” said Zach Lauer. “I look forward to working with our talented teams to strengthen our operations, enhance quality and safety, and accelerate meaningful innovation across the organization.”</w:t>
      </w:r>
    </w:p>
    <w:p>
      <w:pPr>
        <w:spacing w:after="0" w:line="200"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22"/>
          <w:szCs w:val="22"/>
          <w:color w:val="auto"/>
        </w:rPr>
        <w:t>In this role, Lauer will lead the Company’s manufacturing, supply chain, engineering, and R&amp;D functions, driving operational excellence and enabling Trex’s continued growth.</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About Trex Company, Inc.</w:t>
      </w:r>
    </w:p>
    <w:p>
      <w:pPr>
        <w:spacing w:after="0" w:line="237" w:lineRule="exact"/>
        <w:rPr>
          <w:sz w:val="20"/>
          <w:szCs w:val="20"/>
          <w:color w:val="auto"/>
        </w:rPr>
      </w:pPr>
    </w:p>
    <w:p>
      <w:pPr>
        <w:ind w:left="300" w:right="319"/>
        <w:spacing w:after="0" w:line="248" w:lineRule="auto"/>
        <w:rPr>
          <w:sz w:val="20"/>
          <w:szCs w:val="20"/>
          <w:color w:val="auto"/>
        </w:rPr>
      </w:pPr>
      <w:r>
        <w:rPr>
          <w:rFonts w:ascii="Times New Roman" w:cs="Times New Roman" w:eastAsia="Times New Roman" w:hAnsi="Times New Roman"/>
          <w:sz w:val="21"/>
          <w:szCs w:val="21"/>
          <w:color w:val="auto"/>
        </w:rPr>
        <w:t>For more than 30 years, Trex Company [NYSE: TREX] has invented, reinvented and defined the composite decking category. Today, the company is the world’s #1 brand of sustainable, wood-alternative decking and railing, and a leader in high performance, low-maintenance outdoor living products. Boasting the industry’s strongest distribution network, Trex sells products through more than 6,700 retail outlets across six continents. Through strategic licensing agreements, the company offers a comprehensive outdoor living portfolio that includes deck drainage, flashing tapes, LED lighting, outdoor kitchen components, pergolas, spiral stairs,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867410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6" w:name="page7"/>
    <w:bookmarkEnd w:id="6"/>
    <w:p>
      <w:pPr>
        <w:ind w:left="300" w:right="339"/>
        <w:spacing w:after="0" w:line="236" w:lineRule="auto"/>
        <w:rPr>
          <w:sz w:val="20"/>
          <w:szCs w:val="20"/>
          <w:color w:val="auto"/>
        </w:rPr>
      </w:pPr>
      <w:r>
        <w:rPr>
          <w:rFonts w:ascii="Times New Roman" w:cs="Times New Roman" w:eastAsia="Times New Roman" w:hAnsi="Times New Roman"/>
          <w:sz w:val="21"/>
          <w:szCs w:val="21"/>
          <w:color w:val="auto"/>
        </w:rPr>
        <w:t>fencing, lattice, cornhole and outdoor furniture – all marketed under the Trex</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brand. Based in Winchester, Va., Trex is proud to have been named America’s Most Trusted</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Outdoor Decking^ for the past 6 years (2021-2026). The company also holds a place on Barron’s list of the 100 Most Sustainable U.S. Companies (2024 and 2025), was named one of America’s Most Responsible Companies 2024 by Newsweek, ranked as one of the 100 Best ESG Companies by Investor’s Business Daily, and named the Sustainable Brand Leader in the decking category by Green Builder Media for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consecutive year. For more information, visit Trex.com.</w:t>
      </w:r>
    </w:p>
    <w:p>
      <w:pPr>
        <w:spacing w:after="0" w:line="101" w:lineRule="exact"/>
        <w:rPr>
          <w:sz w:val="20"/>
          <w:szCs w:val="20"/>
          <w:color w:val="auto"/>
        </w:rPr>
      </w:pPr>
    </w:p>
    <w:p>
      <w:pPr>
        <w:ind w:left="300" w:right="479"/>
        <w:spacing w:after="0" w:line="237" w:lineRule="auto"/>
        <w:rPr>
          <w:sz w:val="20"/>
          <w:szCs w:val="20"/>
          <w:color w:val="auto"/>
        </w:rPr>
      </w:pPr>
      <w:r>
        <w:rPr>
          <w:rFonts w:ascii="Times New Roman" w:cs="Times New Roman" w:eastAsia="Times New Roman" w:hAnsi="Times New Roman"/>
          <w:sz w:val="21"/>
          <w:szCs w:val="21"/>
          <w:i w:val="1"/>
          <w:iCs w:val="1"/>
          <w:color w:val="auto"/>
        </w:rPr>
        <w:t>^Trex received the highest numerical score in the proprietary Lifestory Research 2021-2026 America’s Most Trusted</w:t>
      </w:r>
      <w:r>
        <w:rPr>
          <w:rFonts w:ascii="Times New Roman" w:cs="Times New Roman" w:eastAsia="Times New Roman" w:hAnsi="Times New Roman"/>
          <w:sz w:val="27"/>
          <w:szCs w:val="27"/>
          <w:i w:val="1"/>
          <w:iCs w:val="1"/>
          <w:color w:val="auto"/>
          <w:vertAlign w:val="superscript"/>
        </w:rPr>
        <w:t>®</w:t>
      </w:r>
      <w:r>
        <w:rPr>
          <w:rFonts w:ascii="Times New Roman" w:cs="Times New Roman" w:eastAsia="Times New Roman" w:hAnsi="Times New Roman"/>
          <w:sz w:val="21"/>
          <w:szCs w:val="21"/>
          <w:i w:val="1"/>
          <w:iCs w:val="1"/>
          <w:color w:val="auto"/>
        </w:rPr>
        <w:t xml:space="preserve"> Outdoor Decking studies. Study results are based on experiences and perceptions of people surveyed. Your experiences may vary. Visit </w:t>
      </w:r>
      <w:r>
        <w:rPr>
          <w:rFonts w:ascii="Times New Roman" w:cs="Times New Roman" w:eastAsia="Times New Roman" w:hAnsi="Times New Roman"/>
          <w:sz w:val="21"/>
          <w:szCs w:val="21"/>
          <w:color w:val="auto"/>
        </w:rPr>
        <w:t>www.lifestoryresearch.com</w:t>
      </w:r>
      <w:r>
        <w:rPr>
          <w:rFonts w:ascii="Times New Roman" w:cs="Times New Roman" w:eastAsia="Times New Roman" w:hAnsi="Times New Roman"/>
          <w:sz w:val="21"/>
          <w:szCs w:val="21"/>
          <w:i w:val="1"/>
          <w:iCs w:val="1"/>
          <w:color w:val="auto"/>
        </w:rPr>
        <w:t>.</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Lee Coker</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VP, Corporate Development &amp; Investor Relations</w:t>
      </w:r>
    </w:p>
    <w:p>
      <w:pPr>
        <w:ind w:left="300"/>
        <w:spacing w:after="0"/>
        <w:rPr>
          <w:sz w:val="20"/>
          <w:szCs w:val="20"/>
          <w:color w:val="auto"/>
        </w:rPr>
      </w:pPr>
      <w:r>
        <w:rPr>
          <w:rFonts w:ascii="Times New Roman" w:cs="Times New Roman" w:eastAsia="Times New Roman" w:hAnsi="Times New Roman"/>
          <w:sz w:val="22"/>
          <w:szCs w:val="22"/>
          <w:color w:val="auto"/>
        </w:rPr>
        <w:t>540-542-6321</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Eric Prouty/Casey Kotary</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ADVISIRY Partners</w:t>
      </w:r>
    </w:p>
    <w:p>
      <w:pPr>
        <w:ind w:left="300"/>
        <w:spacing w:after="0"/>
        <w:rPr>
          <w:sz w:val="20"/>
          <w:szCs w:val="20"/>
          <w:color w:val="auto"/>
        </w:rPr>
      </w:pPr>
      <w:r>
        <w:rPr>
          <w:rFonts w:ascii="Times New Roman" w:cs="Times New Roman" w:eastAsia="Times New Roman" w:hAnsi="Times New Roman"/>
          <w:sz w:val="22"/>
          <w:szCs w:val="22"/>
          <w:color w:val="auto"/>
        </w:rPr>
        <w:t>212-750-5800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874395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2026-05-04T08:03:27Z</dcterms:created>
  <dcterms:modified xsi:type="dcterms:W3CDTF">2026-05-04T08:03:27Z</dcterms:modified>
</cp:coreProperties>
</file>